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382737" w:rsidP="00264F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Lei n. 1038/2018 </w:t>
      </w:r>
    </w:p>
    <w:p w:rsidR="00000000" w:rsidRDefault="00382737" w:rsidP="00264FA6">
      <w:pPr>
        <w:jc w:val="both"/>
        <w:rPr>
          <w:b/>
          <w:sz w:val="28"/>
          <w:szCs w:val="28"/>
        </w:rPr>
      </w:pPr>
    </w:p>
    <w:p w:rsidR="00000000" w:rsidRDefault="00382737" w:rsidP="00264FA6">
      <w:pPr>
        <w:ind w:left="22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DISPÕE SOBRE ISENÇÃO DO IMPOSTO PRED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AL URBANO, PARA PORTADORES DE CÂNCER, DOENÇAS DEGENERATIVAS, INVÁLIDOS POR ACIDENTES DE TRABALHO OU SEUS RESPO</w:t>
      </w:r>
      <w:r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SÁVEIS LEGAIS E DÁ OUTRAS PROVIDÊNCIAS”. </w:t>
      </w:r>
    </w:p>
    <w:p w:rsidR="00000000" w:rsidRDefault="00382737" w:rsidP="00264FA6">
      <w:pPr>
        <w:rPr>
          <w:sz w:val="28"/>
          <w:szCs w:val="28"/>
        </w:rPr>
      </w:pPr>
    </w:p>
    <w:p w:rsidR="00000000" w:rsidRDefault="00382737" w:rsidP="00264FA6">
      <w:pPr>
        <w:rPr>
          <w:sz w:val="28"/>
          <w:szCs w:val="28"/>
        </w:rPr>
      </w:pPr>
    </w:p>
    <w:p w:rsidR="00000000" w:rsidRDefault="00382737" w:rsidP="00264FA6">
      <w:pPr>
        <w:rPr>
          <w:sz w:val="28"/>
          <w:szCs w:val="28"/>
        </w:rPr>
      </w:pPr>
    </w:p>
    <w:p w:rsidR="00000000" w:rsidRDefault="00382737" w:rsidP="00264FA6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GILMAR DOS SANT</w:t>
      </w:r>
      <w:bookmarkStart w:id="0" w:name="_GoBack"/>
      <w:bookmarkEnd w:id="0"/>
      <w:r>
        <w:rPr>
          <w:b/>
          <w:sz w:val="28"/>
          <w:szCs w:val="28"/>
        </w:rPr>
        <w:t>OS LARA</w:t>
      </w:r>
      <w:r>
        <w:rPr>
          <w:sz w:val="28"/>
          <w:szCs w:val="28"/>
        </w:rPr>
        <w:t>, Presidente da Câmar</w:t>
      </w:r>
      <w:r>
        <w:rPr>
          <w:sz w:val="28"/>
          <w:szCs w:val="28"/>
        </w:rPr>
        <w:t>a Municipal de Vereadores de Ouro Verde, Estado de Santa Catarina, no uso de suas atribuições que lhe são conferidas por lei, especificamente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no âmbito da Lei Orgânica Municipal, Artigo 71, parágrafos 1º, 3º,4º,5º,6º e 7º,  faz s</w:t>
      </w:r>
      <w:r>
        <w:rPr>
          <w:sz w:val="28"/>
          <w:szCs w:val="28"/>
        </w:rPr>
        <w:t>a</w:t>
      </w:r>
      <w:r>
        <w:rPr>
          <w:sz w:val="28"/>
          <w:szCs w:val="28"/>
        </w:rPr>
        <w:t>ber a todos os habitantes</w:t>
      </w:r>
      <w:r>
        <w:rPr>
          <w:sz w:val="28"/>
          <w:szCs w:val="28"/>
        </w:rPr>
        <w:t xml:space="preserve"> do Município que a Câmara Municipal de Ver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adores aprovou e ele promulga a seguinte Lei: </w:t>
      </w:r>
    </w:p>
    <w:p w:rsidR="00000000" w:rsidRDefault="00382737" w:rsidP="00264FA6">
      <w:pPr>
        <w:jc w:val="both"/>
        <w:rPr>
          <w:sz w:val="28"/>
          <w:szCs w:val="28"/>
        </w:rPr>
      </w:pPr>
    </w:p>
    <w:p w:rsidR="00000000" w:rsidRDefault="00382737" w:rsidP="00264FA6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Art.- 1º </w:t>
      </w:r>
      <w:r>
        <w:rPr>
          <w:b/>
          <w:bCs/>
          <w:sz w:val="28"/>
          <w:szCs w:val="28"/>
          <w:shd w:val="clear" w:color="auto" w:fill="FFFFFF"/>
        </w:rPr>
        <w:t>Ficam isentos do pagamento do IPTU - Imposto Predial e Territ</w:t>
      </w:r>
      <w:r>
        <w:rPr>
          <w:b/>
          <w:bCs/>
          <w:sz w:val="28"/>
          <w:szCs w:val="28"/>
          <w:shd w:val="clear" w:color="auto" w:fill="FFFFFF"/>
        </w:rPr>
        <w:t>o</w:t>
      </w:r>
      <w:r>
        <w:rPr>
          <w:b/>
          <w:bCs/>
          <w:sz w:val="28"/>
          <w:szCs w:val="28"/>
          <w:shd w:val="clear" w:color="auto" w:fill="FFFFFF"/>
        </w:rPr>
        <w:t>rial Urbano os imóveis que sejam de propriedade/posse e residência do co</w:t>
      </w:r>
      <w:r>
        <w:rPr>
          <w:b/>
          <w:bCs/>
          <w:sz w:val="28"/>
          <w:szCs w:val="28"/>
          <w:shd w:val="clear" w:color="auto" w:fill="FFFFFF"/>
        </w:rPr>
        <w:t>n</w:t>
      </w:r>
      <w:r>
        <w:rPr>
          <w:b/>
          <w:bCs/>
          <w:sz w:val="28"/>
          <w:szCs w:val="28"/>
          <w:shd w:val="clear" w:color="auto" w:fill="FFFFFF"/>
        </w:rPr>
        <w:t>tribuinte portador d</w:t>
      </w:r>
      <w:r>
        <w:rPr>
          <w:b/>
          <w:bCs/>
          <w:sz w:val="28"/>
          <w:szCs w:val="28"/>
          <w:shd w:val="clear" w:color="auto" w:fill="FFFFFF"/>
        </w:rPr>
        <w:t>as doenças graves.</w:t>
      </w:r>
    </w:p>
    <w:p w:rsidR="00000000" w:rsidRDefault="00382737" w:rsidP="00264FA6">
      <w:pPr>
        <w:ind w:left="1701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§</w:t>
      </w:r>
      <w:r>
        <w:rPr>
          <w:b/>
          <w:bCs/>
          <w:sz w:val="28"/>
          <w:szCs w:val="28"/>
          <w:shd w:val="clear" w:color="auto" w:fill="FFFFFF"/>
        </w:rPr>
        <w:t xml:space="preserve"> 1º Para fins de isenção de que trata o caput, entende-se por doença grave as seguintes patologias:</w:t>
      </w:r>
    </w:p>
    <w:p w:rsidR="00000000" w:rsidRDefault="00382737" w:rsidP="00264FA6">
      <w:pPr>
        <w:ind w:left="170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shd w:val="clear" w:color="auto" w:fill="FFFFFF"/>
        </w:rPr>
        <w:t xml:space="preserve"> - Neoplasia maligna (Câncer), ou comprovar que se enco</w:t>
      </w:r>
      <w:r>
        <w:rPr>
          <w:b/>
          <w:bCs/>
          <w:sz w:val="28"/>
          <w:szCs w:val="28"/>
          <w:shd w:val="clear" w:color="auto" w:fill="FFFFFF"/>
        </w:rPr>
        <w:t>n</w:t>
      </w:r>
      <w:r>
        <w:rPr>
          <w:b/>
          <w:bCs/>
          <w:sz w:val="28"/>
          <w:szCs w:val="28"/>
          <w:shd w:val="clear" w:color="auto" w:fill="FFFFFF"/>
        </w:rPr>
        <w:t>tra em acompanhamento médico em virtude desta doença;</w:t>
      </w:r>
      <w:r>
        <w:rPr>
          <w:b/>
          <w:bCs/>
          <w:sz w:val="28"/>
          <w:szCs w:val="28"/>
        </w:rPr>
        <w:t xml:space="preserve"> </w:t>
      </w:r>
    </w:p>
    <w:p w:rsidR="00000000" w:rsidRDefault="00382737" w:rsidP="00264FA6">
      <w:pPr>
        <w:pStyle w:val="NormalWeb"/>
        <w:shd w:val="clear" w:color="auto" w:fill="FFFFFF"/>
        <w:spacing w:before="0" w:after="300"/>
        <w:ind w:left="1701"/>
        <w:jc w:val="both"/>
        <w:textAlignment w:val="baseline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  <w:shd w:val="clear" w:color="auto" w:fill="FFFFFF"/>
        </w:rPr>
        <w:t xml:space="preserve"> - Paralisia irrever</w:t>
      </w:r>
      <w:r>
        <w:rPr>
          <w:b/>
          <w:bCs/>
          <w:sz w:val="28"/>
          <w:szCs w:val="28"/>
          <w:shd w:val="clear" w:color="auto" w:fill="FFFFFF"/>
        </w:rPr>
        <w:t>sível e incapacitante</w:t>
      </w:r>
      <w:proofErr w:type="gramStart"/>
      <w:r>
        <w:rPr>
          <w:b/>
          <w:bCs/>
          <w:sz w:val="28"/>
          <w:szCs w:val="28"/>
          <w:shd w:val="clear" w:color="auto" w:fill="FFFFFF"/>
        </w:rPr>
        <w:t>, seja</w:t>
      </w:r>
      <w:proofErr w:type="gramEnd"/>
      <w:r>
        <w:rPr>
          <w:b/>
          <w:bCs/>
          <w:sz w:val="28"/>
          <w:szCs w:val="28"/>
          <w:shd w:val="clear" w:color="auto" w:fill="FFFFFF"/>
        </w:rPr>
        <w:t xml:space="preserve"> decorrente de acidente de trabalho ou qualquer outra anomalia; </w:t>
      </w:r>
    </w:p>
    <w:p w:rsidR="00000000" w:rsidRDefault="00382737" w:rsidP="00264FA6">
      <w:pPr>
        <w:pStyle w:val="NormalWeb"/>
        <w:shd w:val="clear" w:color="auto" w:fill="FFFFFF"/>
        <w:spacing w:before="0" w:after="300"/>
        <w:ind w:left="1701"/>
        <w:jc w:val="both"/>
        <w:textAlignment w:val="baseline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III -</w:t>
      </w:r>
      <w:r>
        <w:rPr>
          <w:b/>
          <w:bCs/>
          <w:sz w:val="28"/>
          <w:szCs w:val="28"/>
          <w:shd w:val="clear" w:color="auto" w:fill="FFFFFF"/>
        </w:rPr>
        <w:t xml:space="preserve"> Parkinson e Alzheimer;</w:t>
      </w:r>
    </w:p>
    <w:p w:rsidR="00000000" w:rsidRDefault="00382737" w:rsidP="00264FA6">
      <w:pPr>
        <w:ind w:left="1701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§2º.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shd w:val="clear" w:color="auto" w:fill="FFFFFF"/>
        </w:rPr>
        <w:t>O benefício previsto no caput estende-se ao contribuinte cujo cônjuge, companheiro (a) ou descendentes sejam port</w:t>
      </w:r>
      <w:r>
        <w:rPr>
          <w:b/>
          <w:bCs/>
          <w:sz w:val="28"/>
          <w:szCs w:val="28"/>
          <w:shd w:val="clear" w:color="auto" w:fill="FFFFFF"/>
        </w:rPr>
        <w:t>a</w:t>
      </w:r>
      <w:r>
        <w:rPr>
          <w:b/>
          <w:bCs/>
          <w:sz w:val="28"/>
          <w:szCs w:val="28"/>
          <w:shd w:val="clear" w:color="auto" w:fill="FFFFFF"/>
        </w:rPr>
        <w:t>dores das molést</w:t>
      </w:r>
      <w:r>
        <w:rPr>
          <w:b/>
          <w:bCs/>
          <w:sz w:val="28"/>
          <w:szCs w:val="28"/>
          <w:shd w:val="clear" w:color="auto" w:fill="FFFFFF"/>
        </w:rPr>
        <w:t xml:space="preserve">ias </w:t>
      </w:r>
      <w:proofErr w:type="gramStart"/>
      <w:r>
        <w:rPr>
          <w:b/>
          <w:bCs/>
          <w:sz w:val="28"/>
          <w:szCs w:val="28"/>
          <w:shd w:val="clear" w:color="auto" w:fill="FFFFFF"/>
        </w:rPr>
        <w:t>estabelecidas nesta Lei, desde que res</w:t>
      </w:r>
      <w:r>
        <w:rPr>
          <w:b/>
          <w:bCs/>
          <w:sz w:val="28"/>
          <w:szCs w:val="28"/>
          <w:shd w:val="clear" w:color="auto" w:fill="FFFFFF"/>
        </w:rPr>
        <w:t>i</w:t>
      </w:r>
      <w:r>
        <w:rPr>
          <w:b/>
          <w:bCs/>
          <w:sz w:val="28"/>
          <w:szCs w:val="28"/>
          <w:shd w:val="clear" w:color="auto" w:fill="FFFFFF"/>
        </w:rPr>
        <w:t>dam no mesmo imóvel</w:t>
      </w:r>
      <w:proofErr w:type="gramEnd"/>
      <w:r>
        <w:rPr>
          <w:b/>
          <w:bCs/>
          <w:sz w:val="28"/>
          <w:szCs w:val="28"/>
          <w:shd w:val="clear" w:color="auto" w:fill="FFFFFF"/>
        </w:rPr>
        <w:t>;</w:t>
      </w:r>
    </w:p>
    <w:p w:rsidR="00000000" w:rsidRDefault="00382737" w:rsidP="00264FA6">
      <w:pPr>
        <w:pStyle w:val="NormalWeb"/>
        <w:shd w:val="clear" w:color="auto" w:fill="FFFFFF"/>
        <w:spacing w:before="0" w:after="300"/>
        <w:jc w:val="both"/>
        <w:textAlignment w:val="baseline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ab/>
      </w:r>
      <w:r>
        <w:rPr>
          <w:b/>
          <w:bCs/>
          <w:sz w:val="28"/>
          <w:szCs w:val="28"/>
          <w:shd w:val="clear" w:color="auto" w:fill="FFFFFF"/>
        </w:rPr>
        <w:tab/>
        <w:t xml:space="preserve">   §3º</w:t>
      </w:r>
      <w:r>
        <w:rPr>
          <w:b/>
          <w:bCs/>
          <w:sz w:val="28"/>
          <w:szCs w:val="28"/>
          <w:shd w:val="clear" w:color="auto" w:fill="FFFFFF"/>
        </w:rPr>
        <w:t xml:space="preserve"> Caso o proprietário passe a residir em outra localidade, o Setor de Tributação do Município de Ouro Verde, concederá isento o im</w:t>
      </w:r>
      <w:r>
        <w:rPr>
          <w:b/>
          <w:bCs/>
          <w:sz w:val="28"/>
          <w:szCs w:val="28"/>
          <w:shd w:val="clear" w:color="auto" w:fill="FFFFFF"/>
        </w:rPr>
        <w:t>ó</w:t>
      </w:r>
      <w:r>
        <w:rPr>
          <w:b/>
          <w:bCs/>
          <w:sz w:val="28"/>
          <w:szCs w:val="28"/>
          <w:shd w:val="clear" w:color="auto" w:fill="FFFFFF"/>
        </w:rPr>
        <w:lastRenderedPageBreak/>
        <w:t>vel que passou a residir, desde que dentro do territór</w:t>
      </w:r>
      <w:r>
        <w:rPr>
          <w:b/>
          <w:bCs/>
          <w:sz w:val="28"/>
          <w:szCs w:val="28"/>
          <w:shd w:val="clear" w:color="auto" w:fill="FFFFFF"/>
        </w:rPr>
        <w:t>io do município, em</w:t>
      </w:r>
      <w:r>
        <w:rPr>
          <w:b/>
          <w:bCs/>
          <w:sz w:val="28"/>
          <w:szCs w:val="28"/>
          <w:shd w:val="clear" w:color="auto" w:fill="FFFFFF"/>
        </w:rPr>
        <w:t>i</w:t>
      </w:r>
      <w:r>
        <w:rPr>
          <w:b/>
          <w:bCs/>
          <w:sz w:val="28"/>
          <w:szCs w:val="28"/>
          <w:shd w:val="clear" w:color="auto" w:fill="FFFFFF"/>
        </w:rPr>
        <w:t>tindo assim, a guia de pagamento para o imóvel anterior imunizado.</w:t>
      </w:r>
    </w:p>
    <w:p w:rsidR="00000000" w:rsidRDefault="00382737" w:rsidP="00264FA6">
      <w:pPr>
        <w:pStyle w:val="NormalWeb"/>
        <w:shd w:val="clear" w:color="auto" w:fill="FFFFFF"/>
        <w:spacing w:before="0" w:after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Art. 2º – Para requerer a isenção do IPTU, o titular do imóvel deverá:</w:t>
      </w:r>
    </w:p>
    <w:p w:rsidR="00000000" w:rsidRDefault="00382737" w:rsidP="00264FA6">
      <w:pPr>
        <w:pStyle w:val="NormalWeb"/>
        <w:shd w:val="clear" w:color="auto" w:fill="FFFFFF"/>
        <w:spacing w:before="0" w:after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I- Apresentar laudo médico, diagnosticando a doença, o prazo de validade do laudo pericial e em ca</w:t>
      </w:r>
      <w:r>
        <w:rPr>
          <w:sz w:val="28"/>
          <w:szCs w:val="28"/>
        </w:rPr>
        <w:t>so de moléstias passíveis de controle, atestará que a doe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ça implica em incapacidade laboral e despesas elevadas, além da Classificação Internacional da Doença (CID); </w:t>
      </w:r>
    </w:p>
    <w:p w:rsidR="00000000" w:rsidRDefault="00382737" w:rsidP="00264FA6">
      <w:pPr>
        <w:pStyle w:val="NormalWeb"/>
        <w:shd w:val="clear" w:color="auto" w:fill="FFFFFF"/>
        <w:spacing w:before="0" w:after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II- Comprovar rendimento familiar não superior a 03 (três) salários mínimos;</w:t>
      </w:r>
    </w:p>
    <w:p w:rsidR="00000000" w:rsidRDefault="00382737" w:rsidP="00264FA6">
      <w:pPr>
        <w:pStyle w:val="NormalWeb"/>
        <w:shd w:val="clear" w:color="auto" w:fill="FFFFFF"/>
        <w:spacing w:before="0" w:after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III- Requer</w:t>
      </w:r>
      <w:r>
        <w:rPr>
          <w:sz w:val="28"/>
          <w:szCs w:val="28"/>
        </w:rPr>
        <w:t>er junto ao Departamento de tributação Municipal com comprovação ou diagnóstico da doença;</w:t>
      </w:r>
    </w:p>
    <w:p w:rsidR="00000000" w:rsidRDefault="00382737" w:rsidP="00264FA6">
      <w:pPr>
        <w:pStyle w:val="NormalWeb"/>
        <w:shd w:val="clear" w:color="auto" w:fill="FFFFFF"/>
        <w:spacing w:before="0" w:after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IV- Comprovar ser proprietário ou responsável legal pelo doente, quando co</w:t>
      </w:r>
      <w:r>
        <w:rPr>
          <w:sz w:val="28"/>
          <w:szCs w:val="28"/>
        </w:rPr>
        <w:t>u</w:t>
      </w:r>
      <w:r>
        <w:rPr>
          <w:sz w:val="28"/>
          <w:szCs w:val="28"/>
        </w:rPr>
        <w:t>ber.</w:t>
      </w:r>
    </w:p>
    <w:p w:rsidR="00000000" w:rsidRDefault="00382737" w:rsidP="00264FA6">
      <w:pPr>
        <w:pStyle w:val="NormalWeb"/>
        <w:shd w:val="clear" w:color="auto" w:fill="FFFFFF"/>
        <w:spacing w:before="0" w:after="300"/>
        <w:jc w:val="both"/>
        <w:textAlignment w:val="baseline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V- </w:t>
      </w:r>
      <w:r>
        <w:rPr>
          <w:b/>
          <w:bCs/>
          <w:sz w:val="28"/>
          <w:szCs w:val="28"/>
          <w:shd w:val="clear" w:color="auto" w:fill="FFFFFF"/>
        </w:rPr>
        <w:t>A isenção de que trata o artigo 1º será concedido somente para um ún</w:t>
      </w:r>
      <w:r>
        <w:rPr>
          <w:b/>
          <w:bCs/>
          <w:sz w:val="28"/>
          <w:szCs w:val="28"/>
          <w:shd w:val="clear" w:color="auto" w:fill="FFFFFF"/>
        </w:rPr>
        <w:t>i</w:t>
      </w:r>
      <w:r>
        <w:rPr>
          <w:b/>
          <w:bCs/>
          <w:sz w:val="28"/>
          <w:szCs w:val="28"/>
          <w:shd w:val="clear" w:color="auto" w:fill="FFFFFF"/>
        </w:rPr>
        <w:t xml:space="preserve">co imóvel do </w:t>
      </w:r>
      <w:r>
        <w:rPr>
          <w:b/>
          <w:bCs/>
          <w:sz w:val="28"/>
          <w:szCs w:val="28"/>
          <w:shd w:val="clear" w:color="auto" w:fill="FFFFFF"/>
        </w:rPr>
        <w:t>qual o portador das doenças mencionadas nesta Lei seja pr</w:t>
      </w:r>
      <w:r>
        <w:rPr>
          <w:b/>
          <w:bCs/>
          <w:sz w:val="28"/>
          <w:szCs w:val="28"/>
          <w:shd w:val="clear" w:color="auto" w:fill="FFFFFF"/>
        </w:rPr>
        <w:t>o</w:t>
      </w:r>
      <w:r>
        <w:rPr>
          <w:b/>
          <w:bCs/>
          <w:sz w:val="28"/>
          <w:szCs w:val="28"/>
          <w:shd w:val="clear" w:color="auto" w:fill="FFFFFF"/>
        </w:rPr>
        <w:t>prietário, possuidor ou dependente e que seja utilizado exclusivamente c</w:t>
      </w:r>
      <w:r>
        <w:rPr>
          <w:b/>
          <w:bCs/>
          <w:sz w:val="28"/>
          <w:szCs w:val="28"/>
          <w:shd w:val="clear" w:color="auto" w:fill="FFFFFF"/>
        </w:rPr>
        <w:t>o</w:t>
      </w:r>
      <w:r>
        <w:rPr>
          <w:b/>
          <w:bCs/>
          <w:sz w:val="28"/>
          <w:szCs w:val="28"/>
          <w:shd w:val="clear" w:color="auto" w:fill="FFFFFF"/>
        </w:rPr>
        <w:t>mo a sua residência e de sua família, independentemente do tamanho do imóvel.</w:t>
      </w:r>
    </w:p>
    <w:p w:rsidR="00000000" w:rsidRDefault="00382737" w:rsidP="00264FA6">
      <w:pPr>
        <w:pStyle w:val="NormalWeb"/>
        <w:shd w:val="clear" w:color="auto" w:fill="FFFFFF"/>
        <w:spacing w:before="0" w:after="300"/>
        <w:jc w:val="both"/>
        <w:textAlignment w:val="baseline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§ único:</w:t>
      </w:r>
      <w:r>
        <w:rPr>
          <w:b/>
          <w:bCs/>
          <w:sz w:val="28"/>
          <w:szCs w:val="28"/>
          <w:shd w:val="clear" w:color="auto" w:fill="FFFFFF"/>
        </w:rPr>
        <w:t xml:space="preserve"> No que concerne ao inciso II, deste ar</w:t>
      </w:r>
      <w:r>
        <w:rPr>
          <w:b/>
          <w:bCs/>
          <w:sz w:val="28"/>
          <w:szCs w:val="28"/>
          <w:shd w:val="clear" w:color="auto" w:fill="FFFFFF"/>
        </w:rPr>
        <w:t>tigo, a critério da autoridade competente, serão aceitos diagnósticos provenientes de qualquer institu</w:t>
      </w:r>
      <w:r>
        <w:rPr>
          <w:b/>
          <w:bCs/>
          <w:sz w:val="28"/>
          <w:szCs w:val="28"/>
          <w:shd w:val="clear" w:color="auto" w:fill="FFFFFF"/>
        </w:rPr>
        <w:t>i</w:t>
      </w:r>
      <w:r>
        <w:rPr>
          <w:b/>
          <w:bCs/>
          <w:sz w:val="28"/>
          <w:szCs w:val="28"/>
          <w:shd w:val="clear" w:color="auto" w:fill="FFFFFF"/>
        </w:rPr>
        <w:t xml:space="preserve">ção, seja ela ligada </w:t>
      </w:r>
      <w:proofErr w:type="gramStart"/>
      <w:r>
        <w:rPr>
          <w:b/>
          <w:bCs/>
          <w:sz w:val="28"/>
          <w:szCs w:val="28"/>
          <w:shd w:val="clear" w:color="auto" w:fill="FFFFFF"/>
        </w:rPr>
        <w:t>aos Sistema</w:t>
      </w:r>
      <w:proofErr w:type="gramEnd"/>
      <w:r>
        <w:rPr>
          <w:b/>
          <w:bCs/>
          <w:sz w:val="28"/>
          <w:szCs w:val="28"/>
          <w:shd w:val="clear" w:color="auto" w:fill="FFFFFF"/>
        </w:rPr>
        <w:t xml:space="preserve"> Único de Saúde (SUS), seja de entidade pa</w:t>
      </w:r>
      <w:r>
        <w:rPr>
          <w:b/>
          <w:bCs/>
          <w:sz w:val="28"/>
          <w:szCs w:val="28"/>
          <w:shd w:val="clear" w:color="auto" w:fill="FFFFFF"/>
        </w:rPr>
        <w:t>r</w:t>
      </w:r>
      <w:r>
        <w:rPr>
          <w:b/>
          <w:bCs/>
          <w:sz w:val="28"/>
          <w:szCs w:val="28"/>
          <w:shd w:val="clear" w:color="auto" w:fill="FFFFFF"/>
        </w:rPr>
        <w:t>ticular.</w:t>
      </w:r>
    </w:p>
    <w:p w:rsidR="00000000" w:rsidRDefault="00382737" w:rsidP="00264FA6">
      <w:pPr>
        <w:pStyle w:val="NormalWeb"/>
        <w:shd w:val="clear" w:color="auto" w:fill="FFFFFF"/>
        <w:spacing w:before="0" w:after="30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VI - Documento de identificação do requerente </w:t>
      </w:r>
      <w:proofErr w:type="gramStart"/>
      <w:r>
        <w:rPr>
          <w:sz w:val="28"/>
          <w:szCs w:val="28"/>
          <w:shd w:val="clear" w:color="auto" w:fill="FFFFFF"/>
        </w:rPr>
        <w:t xml:space="preserve">(Cédula de Registro de </w:t>
      </w:r>
      <w:r>
        <w:rPr>
          <w:sz w:val="28"/>
          <w:szCs w:val="28"/>
          <w:shd w:val="clear" w:color="auto" w:fill="FFFFFF"/>
        </w:rPr>
        <w:t>Ident</w:t>
      </w:r>
      <w:r>
        <w:rPr>
          <w:sz w:val="28"/>
          <w:szCs w:val="28"/>
          <w:shd w:val="clear" w:color="auto" w:fill="FFFFFF"/>
        </w:rPr>
        <w:t>i</w:t>
      </w:r>
      <w:r>
        <w:rPr>
          <w:sz w:val="28"/>
          <w:szCs w:val="28"/>
          <w:shd w:val="clear" w:color="auto" w:fill="FFFFFF"/>
        </w:rPr>
        <w:t>dade (RG) e/ou Carteira de Trabalho e Previdência Social (CTPS) e, quando o dependente do proprietário for o portador da doença, juntar documento hábil a fim de se comprovar o vínculo de dependência (cópia da certidão de nascime</w:t>
      </w:r>
      <w:r>
        <w:rPr>
          <w:sz w:val="28"/>
          <w:szCs w:val="28"/>
          <w:shd w:val="clear" w:color="auto" w:fill="FFFFFF"/>
        </w:rPr>
        <w:t>n</w:t>
      </w:r>
      <w:r>
        <w:rPr>
          <w:sz w:val="28"/>
          <w:szCs w:val="28"/>
          <w:shd w:val="clear" w:color="auto" w:fill="FFFFFF"/>
        </w:rPr>
        <w:t>to/casamento);</w:t>
      </w:r>
    </w:p>
    <w:p w:rsidR="00000000" w:rsidRDefault="00382737" w:rsidP="00264FA6">
      <w:pPr>
        <w:pStyle w:val="NormalWeb"/>
        <w:shd w:val="clear" w:color="auto" w:fill="FFFFFF"/>
        <w:spacing w:before="0" w:after="300"/>
        <w:jc w:val="both"/>
        <w:textAlignment w:val="baseline"/>
        <w:rPr>
          <w:b/>
          <w:bCs/>
          <w:sz w:val="28"/>
          <w:szCs w:val="28"/>
          <w:shd w:val="clear" w:color="auto" w:fill="FFFFFF"/>
        </w:rPr>
      </w:pPr>
      <w:proofErr w:type="gramEnd"/>
      <w:r>
        <w:rPr>
          <w:b/>
          <w:bCs/>
          <w:sz w:val="28"/>
          <w:szCs w:val="28"/>
        </w:rPr>
        <w:lastRenderedPageBreak/>
        <w:t>Art. 3</w:t>
      </w:r>
      <w:r>
        <w:rPr>
          <w:b/>
          <w:bCs/>
          <w:sz w:val="28"/>
          <w:szCs w:val="28"/>
        </w:rPr>
        <w:t xml:space="preserve">º – </w:t>
      </w:r>
      <w:r>
        <w:rPr>
          <w:b/>
          <w:bCs/>
          <w:sz w:val="28"/>
          <w:szCs w:val="28"/>
          <w:shd w:val="clear" w:color="auto" w:fill="FFFFFF"/>
        </w:rPr>
        <w:t xml:space="preserve">O requerimento para concessão da isenção deverá ser protocolado anualmente, até o ultimo dia do mês de dezembro de cada exercício, </w:t>
      </w:r>
      <w:proofErr w:type="gramStart"/>
      <w:r>
        <w:rPr>
          <w:b/>
          <w:bCs/>
          <w:sz w:val="28"/>
          <w:szCs w:val="28"/>
          <w:shd w:val="clear" w:color="auto" w:fill="FFFFFF"/>
        </w:rPr>
        <w:t>sob pena</w:t>
      </w:r>
      <w:proofErr w:type="gramEnd"/>
      <w:r>
        <w:rPr>
          <w:b/>
          <w:bCs/>
          <w:sz w:val="28"/>
          <w:szCs w:val="28"/>
          <w:shd w:val="clear" w:color="auto" w:fill="FFFFFF"/>
        </w:rPr>
        <w:t xml:space="preserve"> de perda do benefício fiscal no ano seguinte, ficando sujeito a confi</w:t>
      </w:r>
      <w:r>
        <w:rPr>
          <w:b/>
          <w:bCs/>
          <w:sz w:val="28"/>
          <w:szCs w:val="28"/>
          <w:shd w:val="clear" w:color="auto" w:fill="FFFFFF"/>
        </w:rPr>
        <w:t>r</w:t>
      </w:r>
      <w:r>
        <w:rPr>
          <w:b/>
          <w:bCs/>
          <w:sz w:val="28"/>
          <w:szCs w:val="28"/>
          <w:shd w:val="clear" w:color="auto" w:fill="FFFFFF"/>
        </w:rPr>
        <w:t xml:space="preserve">mação pela fiscalização municipal. </w:t>
      </w:r>
    </w:p>
    <w:p w:rsidR="00000000" w:rsidRDefault="00382737" w:rsidP="00264FA6">
      <w:pPr>
        <w:pStyle w:val="NormalWeb"/>
        <w:shd w:val="clear" w:color="auto" w:fill="FFFFFF"/>
        <w:spacing w:before="0" w:after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Art. 4</w:t>
      </w:r>
      <w:r>
        <w:rPr>
          <w:sz w:val="28"/>
          <w:szCs w:val="28"/>
        </w:rPr>
        <w:t>º – O benefício da isenção cessa na ocorrência das seguintes situações em relação ao:</w:t>
      </w:r>
    </w:p>
    <w:p w:rsidR="00000000" w:rsidRDefault="00382737" w:rsidP="00264FA6">
      <w:pPr>
        <w:pStyle w:val="NormalWeb"/>
        <w:shd w:val="clear" w:color="auto" w:fill="FFFFFF"/>
        <w:spacing w:before="0" w:after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I. Proprietário com câncer, falecimento ou cura;</w:t>
      </w:r>
    </w:p>
    <w:p w:rsidR="00000000" w:rsidRDefault="00382737" w:rsidP="00264FA6">
      <w:pPr>
        <w:pStyle w:val="NormalWeb"/>
        <w:shd w:val="clear" w:color="auto" w:fill="FFFFFF"/>
        <w:spacing w:before="0" w:after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II. Responsável legal: falecimento ou cura do doente.</w:t>
      </w:r>
    </w:p>
    <w:p w:rsidR="00000000" w:rsidRDefault="00382737" w:rsidP="00264FA6">
      <w:pPr>
        <w:pStyle w:val="NormalWeb"/>
        <w:shd w:val="clear" w:color="auto" w:fill="FFFFFF"/>
        <w:spacing w:before="0" w:after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Art. 5º – O Chefe do Executivo regulamentará a lei no que couber.</w:t>
      </w:r>
    </w:p>
    <w:p w:rsidR="00000000" w:rsidRDefault="00382737" w:rsidP="00264FA6">
      <w:pPr>
        <w:pStyle w:val="NormalWeb"/>
        <w:shd w:val="clear" w:color="auto" w:fill="FFFFFF"/>
        <w:spacing w:before="0" w:after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rt. </w:t>
      </w:r>
      <w:proofErr w:type="gramStart"/>
      <w:r>
        <w:rPr>
          <w:sz w:val="28"/>
          <w:szCs w:val="28"/>
        </w:rPr>
        <w:t>6º – Esta Lei entra em vigor na data de sua publicação, revogando as disp</w:t>
      </w:r>
      <w:r>
        <w:rPr>
          <w:sz w:val="28"/>
          <w:szCs w:val="28"/>
        </w:rPr>
        <w:t>o</w:t>
      </w:r>
      <w:r>
        <w:rPr>
          <w:sz w:val="28"/>
          <w:szCs w:val="28"/>
        </w:rPr>
        <w:t>sições em contrário”</w:t>
      </w:r>
      <w:proofErr w:type="gramEnd"/>
      <w:r>
        <w:rPr>
          <w:sz w:val="28"/>
          <w:szCs w:val="28"/>
        </w:rPr>
        <w:t>.</w:t>
      </w:r>
    </w:p>
    <w:p w:rsidR="00000000" w:rsidRDefault="00382737" w:rsidP="00264F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Gabinete do Presidente da Câmara Municipal de Vereadores de Ouro Verde, em 04 de Outubro de 2018. </w:t>
      </w:r>
    </w:p>
    <w:p w:rsidR="00000000" w:rsidRDefault="00382737" w:rsidP="00264FA6">
      <w:pPr>
        <w:jc w:val="both"/>
        <w:rPr>
          <w:sz w:val="28"/>
          <w:szCs w:val="28"/>
        </w:rPr>
      </w:pPr>
    </w:p>
    <w:p w:rsidR="00000000" w:rsidRDefault="00382737" w:rsidP="00264FA6">
      <w:pPr>
        <w:jc w:val="both"/>
        <w:rPr>
          <w:sz w:val="28"/>
          <w:szCs w:val="28"/>
        </w:rPr>
      </w:pPr>
    </w:p>
    <w:p w:rsidR="00000000" w:rsidRDefault="00382737" w:rsidP="00264FA6">
      <w:pPr>
        <w:jc w:val="both"/>
        <w:rPr>
          <w:sz w:val="28"/>
          <w:szCs w:val="28"/>
        </w:rPr>
      </w:pPr>
    </w:p>
    <w:p w:rsidR="00000000" w:rsidRDefault="00382737" w:rsidP="00264FA6">
      <w:pPr>
        <w:tabs>
          <w:tab w:val="left" w:pos="3810"/>
          <w:tab w:val="left" w:pos="55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GILMAR DOS </w:t>
      </w:r>
      <w:proofErr w:type="gramStart"/>
      <w:r>
        <w:rPr>
          <w:b/>
          <w:sz w:val="28"/>
          <w:szCs w:val="28"/>
        </w:rPr>
        <w:t>SANTOS LARA</w:t>
      </w:r>
      <w:proofErr w:type="gramEnd"/>
    </w:p>
    <w:p w:rsidR="00000000" w:rsidRDefault="00382737" w:rsidP="00264FA6">
      <w:pPr>
        <w:tabs>
          <w:tab w:val="left" w:pos="596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Presidente </w:t>
      </w:r>
    </w:p>
    <w:p w:rsidR="00000000" w:rsidRDefault="00382737">
      <w:pPr>
        <w:tabs>
          <w:tab w:val="left" w:pos="3810"/>
        </w:tabs>
        <w:rPr>
          <w:sz w:val="28"/>
          <w:szCs w:val="28"/>
        </w:rPr>
      </w:pPr>
    </w:p>
    <w:p w:rsidR="00000000" w:rsidRDefault="00382737">
      <w:pPr>
        <w:tabs>
          <w:tab w:val="left" w:pos="3810"/>
        </w:tabs>
        <w:jc w:val="center"/>
        <w:rPr>
          <w:sz w:val="28"/>
          <w:szCs w:val="28"/>
        </w:rPr>
      </w:pPr>
    </w:p>
    <w:p w:rsidR="00000000" w:rsidRDefault="00382737">
      <w:pPr>
        <w:tabs>
          <w:tab w:val="left" w:pos="3810"/>
        </w:tabs>
        <w:jc w:val="center"/>
        <w:rPr>
          <w:sz w:val="28"/>
          <w:szCs w:val="28"/>
        </w:rPr>
      </w:pPr>
    </w:p>
    <w:p w:rsidR="00000000" w:rsidRDefault="00382737">
      <w:pPr>
        <w:tabs>
          <w:tab w:val="left" w:pos="3810"/>
        </w:tabs>
        <w:jc w:val="center"/>
        <w:rPr>
          <w:sz w:val="28"/>
          <w:szCs w:val="28"/>
        </w:rPr>
      </w:pPr>
    </w:p>
    <w:p w:rsidR="00000000" w:rsidRDefault="00382737">
      <w:pPr>
        <w:tabs>
          <w:tab w:val="left" w:pos="3810"/>
        </w:tabs>
        <w:jc w:val="center"/>
        <w:rPr>
          <w:sz w:val="28"/>
          <w:szCs w:val="28"/>
        </w:rPr>
      </w:pPr>
    </w:p>
    <w:p w:rsidR="00000000" w:rsidRDefault="00382737">
      <w:pPr>
        <w:tabs>
          <w:tab w:val="left" w:pos="3810"/>
        </w:tabs>
        <w:jc w:val="center"/>
        <w:rPr>
          <w:sz w:val="28"/>
          <w:szCs w:val="28"/>
        </w:rPr>
      </w:pPr>
    </w:p>
    <w:p w:rsidR="00000000" w:rsidRDefault="00382737">
      <w:pPr>
        <w:tabs>
          <w:tab w:val="left" w:pos="3810"/>
        </w:tabs>
        <w:jc w:val="center"/>
        <w:rPr>
          <w:sz w:val="28"/>
          <w:szCs w:val="28"/>
        </w:rPr>
      </w:pPr>
    </w:p>
    <w:p w:rsidR="00000000" w:rsidRDefault="00382737">
      <w:pPr>
        <w:tabs>
          <w:tab w:val="left" w:pos="3810"/>
        </w:tabs>
        <w:jc w:val="center"/>
        <w:rPr>
          <w:sz w:val="28"/>
          <w:szCs w:val="28"/>
        </w:rPr>
      </w:pPr>
    </w:p>
    <w:p w:rsidR="00000000" w:rsidRDefault="00382737">
      <w:pPr>
        <w:tabs>
          <w:tab w:val="left" w:pos="3810"/>
        </w:tabs>
        <w:jc w:val="center"/>
        <w:rPr>
          <w:sz w:val="28"/>
          <w:szCs w:val="28"/>
        </w:rPr>
      </w:pPr>
    </w:p>
    <w:p w:rsidR="00000000" w:rsidRDefault="00382737">
      <w:pPr>
        <w:tabs>
          <w:tab w:val="left" w:pos="3810"/>
        </w:tabs>
        <w:jc w:val="center"/>
        <w:rPr>
          <w:sz w:val="28"/>
          <w:szCs w:val="28"/>
        </w:rPr>
      </w:pPr>
    </w:p>
    <w:p w:rsidR="00382737" w:rsidRDefault="00382737">
      <w:pPr>
        <w:tabs>
          <w:tab w:val="left" w:pos="3810"/>
        </w:tabs>
        <w:jc w:val="center"/>
      </w:pPr>
    </w:p>
    <w:sectPr w:rsidR="00382737">
      <w:headerReference w:type="default" r:id="rId8"/>
      <w:footnotePr>
        <w:pos w:val="beneathText"/>
      </w:footnotePr>
      <w:pgSz w:w="11905" w:h="15874"/>
      <w:pgMar w:top="1037" w:right="1185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37" w:rsidRDefault="00382737">
      <w:r>
        <w:separator/>
      </w:r>
    </w:p>
  </w:endnote>
  <w:endnote w:type="continuationSeparator" w:id="0">
    <w:p w:rsidR="00382737" w:rsidRDefault="0038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37" w:rsidRDefault="00382737">
      <w:r>
        <w:separator/>
      </w:r>
    </w:p>
  </w:footnote>
  <w:footnote w:type="continuationSeparator" w:id="0">
    <w:p w:rsidR="00382737" w:rsidRDefault="00382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64FA6">
    <w:pPr>
      <w:pStyle w:val="Cabealho"/>
      <w:tabs>
        <w:tab w:val="clear" w:pos="8838"/>
      </w:tabs>
      <w:rPr>
        <w:sz w:val="40"/>
        <w:lang w:val="pt-BR"/>
      </w:rPr>
    </w:pPr>
    <w:r>
      <w:rPr>
        <w:noProof/>
        <w:lang w:eastAsia="pt-BR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-117475</wp:posOffset>
          </wp:positionH>
          <wp:positionV relativeFrom="paragraph">
            <wp:posOffset>-132080</wp:posOffset>
          </wp:positionV>
          <wp:extent cx="1070610" cy="1042035"/>
          <wp:effectExtent l="19050" t="19050" r="15240" b="2476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042035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737">
      <w:rPr>
        <w:sz w:val="36"/>
        <w:lang w:val="pt-BR"/>
      </w:rPr>
      <w:t xml:space="preserve"> </w:t>
    </w:r>
    <w:r w:rsidR="00382737">
      <w:rPr>
        <w:sz w:val="36"/>
        <w:lang w:val="pt-BR"/>
      </w:rPr>
      <w:t xml:space="preserve">                 </w:t>
    </w:r>
    <w:r w:rsidR="00382737">
      <w:rPr>
        <w:sz w:val="40"/>
        <w:lang w:val="pt-BR"/>
      </w:rPr>
      <w:t>ESTADO DE SANTA CATARINA</w:t>
    </w:r>
  </w:p>
  <w:p w:rsidR="00000000" w:rsidRDefault="00382737">
    <w:pPr>
      <w:pStyle w:val="Cabealho"/>
      <w:rPr>
        <w:sz w:val="32"/>
        <w:lang w:val="pt-BR"/>
      </w:rPr>
    </w:pPr>
    <w:r>
      <w:rPr>
        <w:sz w:val="36"/>
        <w:lang w:val="pt-BR"/>
      </w:rPr>
      <w:t xml:space="preserve">                  </w:t>
    </w:r>
    <w:r>
      <w:rPr>
        <w:sz w:val="32"/>
        <w:lang w:val="pt-BR"/>
      </w:rPr>
      <w:t>CÂMARA MUNICIPAL DE VEREADORES</w:t>
    </w:r>
  </w:p>
  <w:p w:rsidR="00000000" w:rsidRDefault="00382737">
    <w:pPr>
      <w:pStyle w:val="Cabealho"/>
      <w:rPr>
        <w:sz w:val="32"/>
        <w:lang w:val="pt-BR"/>
      </w:rPr>
    </w:pPr>
    <w:r>
      <w:rPr>
        <w:sz w:val="32"/>
        <w:lang w:val="pt-BR"/>
      </w:rPr>
      <w:t xml:space="preserve">                     </w:t>
    </w:r>
    <w:r>
      <w:rPr>
        <w:sz w:val="32"/>
        <w:lang w:val="pt-BR"/>
      </w:rPr>
      <w:t>OURO VERDE</w:t>
    </w:r>
  </w:p>
  <w:p w:rsidR="00000000" w:rsidRDefault="00382737">
    <w:pPr>
      <w:pStyle w:val="Cabealho"/>
      <w:rPr>
        <w:sz w:val="36"/>
        <w:lang w:val="pt-BR"/>
      </w:rPr>
    </w:pPr>
    <w:r>
      <w:rPr>
        <w:sz w:val="36"/>
        <w:lang w:val="pt-BR"/>
      </w:rPr>
      <w:t xml:space="preserve">                  </w:t>
    </w:r>
  </w:p>
  <w:p w:rsidR="00000000" w:rsidRDefault="00382737">
    <w:pPr>
      <w:pStyle w:val="Cabealho"/>
      <w:rPr>
        <w:sz w:val="28"/>
        <w:lang w:val="pt-BR"/>
      </w:rPr>
    </w:pPr>
  </w:p>
  <w:p w:rsidR="00000000" w:rsidRDefault="00382737">
    <w:pPr>
      <w:pStyle w:val="Cabealho"/>
      <w:rPr>
        <w:lang w:val="pt-BR"/>
      </w:rPr>
    </w:pPr>
    <w:r>
      <w:rPr>
        <w:lang w:val="pt-BR"/>
      </w:rPr>
      <w:t>===========================================</w:t>
    </w:r>
    <w:r>
      <w:rPr>
        <w:lang w:val="pt-BR"/>
      </w:rPr>
      <w:t>====================================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A6"/>
    <w:rsid w:val="001570E0"/>
    <w:rsid w:val="00264FA6"/>
    <w:rsid w:val="00382737"/>
    <w:rsid w:val="00FC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ind w:left="2552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2"/>
      </w:numPr>
      <w:outlineLvl w:val="6"/>
    </w:pPr>
    <w:rPr>
      <w:bCs/>
      <w:sz w:val="28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2"/>
      </w:numPr>
      <w:ind w:left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Fontepargpadro1">
    <w:name w:val="Fonte parág. padrão1"/>
  </w:style>
  <w:style w:type="character" w:styleId="Hyperlink">
    <w:name w:val="Hyperlink"/>
    <w:semiHidden/>
    <w:rPr>
      <w:color w:val="0000FF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customStyle="1" w:styleId="Recuodecorpodetexto2Char">
    <w:name w:val="Recuo de corpo de texto 2 Char"/>
    <w:rPr>
      <w:sz w:val="24"/>
      <w:szCs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jc w:val="center"/>
    </w:pPr>
    <w:rPr>
      <w:rFonts w:ascii="Arial" w:hAnsi="Arial"/>
      <w:b/>
      <w:sz w:val="32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Textodenotaderodap">
    <w:name w:val="footnote text"/>
    <w:basedOn w:val="Normal"/>
    <w:semiHidden/>
  </w:style>
  <w:style w:type="paragraph" w:styleId="Recuodecorpodetexto">
    <w:name w:val="Body Text Indent"/>
    <w:basedOn w:val="Normal"/>
    <w:semiHidden/>
    <w:pPr>
      <w:ind w:left="6372"/>
      <w:jc w:val="both"/>
    </w:pPr>
    <w:rPr>
      <w:b/>
      <w:sz w:val="24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  <w:rPr>
      <w:sz w:val="24"/>
      <w:szCs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spacing w:after="160" w:line="252" w:lineRule="auto"/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ind w:left="2552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2"/>
      </w:numPr>
      <w:outlineLvl w:val="6"/>
    </w:pPr>
    <w:rPr>
      <w:bCs/>
      <w:sz w:val="28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2"/>
      </w:numPr>
      <w:ind w:left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Fontepargpadro1">
    <w:name w:val="Fonte parág. padrão1"/>
  </w:style>
  <w:style w:type="character" w:styleId="Hyperlink">
    <w:name w:val="Hyperlink"/>
    <w:semiHidden/>
    <w:rPr>
      <w:color w:val="0000FF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customStyle="1" w:styleId="Recuodecorpodetexto2Char">
    <w:name w:val="Recuo de corpo de texto 2 Char"/>
    <w:rPr>
      <w:sz w:val="24"/>
      <w:szCs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jc w:val="center"/>
    </w:pPr>
    <w:rPr>
      <w:rFonts w:ascii="Arial" w:hAnsi="Arial"/>
      <w:b/>
      <w:sz w:val="32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Textodenotaderodap">
    <w:name w:val="footnote text"/>
    <w:basedOn w:val="Normal"/>
    <w:semiHidden/>
  </w:style>
  <w:style w:type="paragraph" w:styleId="Recuodecorpodetexto">
    <w:name w:val="Body Text Indent"/>
    <w:basedOn w:val="Normal"/>
    <w:semiHidden/>
    <w:pPr>
      <w:ind w:left="6372"/>
      <w:jc w:val="both"/>
    </w:pPr>
    <w:rPr>
      <w:b/>
      <w:sz w:val="24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  <w:rPr>
      <w:sz w:val="24"/>
      <w:szCs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spacing w:after="160" w:line="252" w:lineRule="auto"/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DO PROJETO DE TRABALHO SOCIAL</vt:lpstr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DO PROJETO DE TRABALHO SOCIAL</dc:title>
  <dc:creator>maria</dc:creator>
  <cp:lastModifiedBy>User</cp:lastModifiedBy>
  <cp:revision>2</cp:revision>
  <cp:lastPrinted>2018-10-05T17:45:00Z</cp:lastPrinted>
  <dcterms:created xsi:type="dcterms:W3CDTF">2018-10-05T18:21:00Z</dcterms:created>
  <dcterms:modified xsi:type="dcterms:W3CDTF">2018-10-05T18:21:00Z</dcterms:modified>
</cp:coreProperties>
</file>