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32" w:rsidRPr="000B2632" w:rsidRDefault="000B2632" w:rsidP="000B2632">
      <w:pPr>
        <w:pStyle w:val="Ttulo2"/>
        <w:spacing w:before="0" w:after="0"/>
        <w:jc w:val="both"/>
        <w:rPr>
          <w:rFonts w:ascii="Century Gothic" w:hAnsi="Century Gothic"/>
          <w:i w:val="0"/>
        </w:rPr>
      </w:pPr>
      <w:r w:rsidRPr="000B2632">
        <w:rPr>
          <w:rFonts w:ascii="Century Gothic" w:hAnsi="Century Gothic"/>
          <w:i w:val="0"/>
        </w:rPr>
        <w:t>LEI Nº</w:t>
      </w:r>
      <w:r w:rsidR="003365E3">
        <w:rPr>
          <w:rFonts w:ascii="Century Gothic" w:hAnsi="Century Gothic"/>
          <w:i w:val="0"/>
        </w:rPr>
        <w:t xml:space="preserve"> </w:t>
      </w:r>
      <w:r w:rsidR="008A779B">
        <w:rPr>
          <w:rFonts w:ascii="Century Gothic" w:hAnsi="Century Gothic"/>
          <w:i w:val="0"/>
        </w:rPr>
        <w:t>1014</w:t>
      </w:r>
      <w:r w:rsidR="003365E3">
        <w:rPr>
          <w:rFonts w:ascii="Century Gothic" w:hAnsi="Century Gothic"/>
          <w:i w:val="0"/>
        </w:rPr>
        <w:t>/2017</w:t>
      </w:r>
    </w:p>
    <w:p w:rsidR="000B2632" w:rsidRPr="000B2632" w:rsidRDefault="000B2632" w:rsidP="000B2632">
      <w:pPr>
        <w:pStyle w:val="Recuodecorpodetexto3"/>
        <w:ind w:left="2977" w:firstLine="0"/>
        <w:rPr>
          <w:rFonts w:ascii="Century Gothic" w:hAnsi="Century Gothic" w:cs="Arial"/>
        </w:rPr>
      </w:pPr>
      <w:bookmarkStart w:id="0" w:name="_GoBack"/>
      <w:bookmarkEnd w:id="0"/>
      <w:r w:rsidRPr="000B2632">
        <w:rPr>
          <w:rFonts w:ascii="Century Gothic" w:hAnsi="Century Gothic" w:cs="Arial"/>
        </w:rPr>
        <w:t>“ESTIMA A RECEITA E FIXA A DESPESA DO MUNICÍPIO DE OURO VERDE PARA O EXERCÍCIO DE 2018 E DÁ OUTRAS PROVIDÊNCIAS”</w:t>
      </w:r>
    </w:p>
    <w:p w:rsidR="000B2632" w:rsidRPr="000B2632" w:rsidRDefault="000B2632" w:rsidP="000B2632">
      <w:pPr>
        <w:ind w:firstLine="1080"/>
        <w:jc w:val="both"/>
        <w:rPr>
          <w:rFonts w:ascii="Century Gothic" w:hAnsi="Century Gothic" w:cs="Arial"/>
          <w:bCs/>
        </w:rPr>
      </w:pPr>
    </w:p>
    <w:p w:rsidR="000B2632" w:rsidRPr="000B2632" w:rsidRDefault="000B2632" w:rsidP="000B2632">
      <w:pPr>
        <w:spacing w:line="276" w:lineRule="auto"/>
        <w:ind w:firstLine="851"/>
        <w:jc w:val="both"/>
        <w:rPr>
          <w:rFonts w:ascii="Century Gothic" w:hAnsi="Century Gothic" w:cs="Arial"/>
        </w:rPr>
      </w:pPr>
      <w:r w:rsidRPr="000B2632">
        <w:rPr>
          <w:rFonts w:ascii="Century Gothic" w:hAnsi="Century Gothic" w:cs="Arial"/>
        </w:rPr>
        <w:t>O Prefeito Municipal de Ouro Verde, Estado de Santa Catarina, no uso das atribuições que lhe confere a Lei Orgânica do Município, faz saber que a Câmara de Vereadores aprovou e ela sanciona a seguinte Lei:</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center"/>
        <w:rPr>
          <w:rFonts w:ascii="Century Gothic" w:hAnsi="Century Gothic" w:cs="Arial"/>
          <w:b/>
          <w:bCs/>
          <w:u w:val="single"/>
        </w:rPr>
      </w:pPr>
      <w:r w:rsidRPr="000B2632">
        <w:rPr>
          <w:rFonts w:ascii="Century Gothic" w:hAnsi="Century Gothic" w:cs="Arial"/>
          <w:b/>
          <w:bCs/>
          <w:u w:val="single"/>
        </w:rPr>
        <w:t>DO ORÇAMENTO DO MUNICÍPIO</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1º.</w:t>
      </w:r>
      <w:r w:rsidRPr="000B2632">
        <w:rPr>
          <w:rFonts w:ascii="Century Gothic" w:hAnsi="Century Gothic" w:cs="Arial"/>
          <w:bCs/>
        </w:rPr>
        <w:t xml:space="preserve">  O Orçamento Geral Consolidado do Município para o exercício de 2018 estima a receita e fixa a despesa em R$ 13.650.239,46 (treze milhões, seiscentos e cinquenta mil, duzentos e trinta e nove reais e quarenta e seis centavos), de acordo com as vinculações dos recursos previstos nos anexos que integram a presente lei.</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 1º.</w:t>
      </w:r>
      <w:r w:rsidRPr="000B2632">
        <w:rPr>
          <w:rFonts w:ascii="Century Gothic" w:hAnsi="Century Gothic" w:cs="Arial"/>
          <w:bCs/>
        </w:rPr>
        <w:t xml:space="preserve"> A Receita do Município será realizada mediante a arrecadação de tributos, rendas e outras receitas correntes e de capital, na forma da legislação em vigor, discriminada nos quadros anexos, com o seguinte desdobramento:</w:t>
      </w:r>
    </w:p>
    <w:p w:rsidR="000B2632" w:rsidRPr="000B2632" w:rsidRDefault="000B2632" w:rsidP="000B2632">
      <w:pPr>
        <w:pStyle w:val="Recuodecorpodetexto"/>
        <w:spacing w:after="0"/>
        <w:ind w:left="0"/>
        <w:jc w:val="both"/>
        <w:rPr>
          <w:rFonts w:ascii="Century Gothic" w:hAnsi="Century Gothic" w:cs="Arial"/>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720"/>
        <w:gridCol w:w="2401"/>
      </w:tblGrid>
      <w:tr w:rsidR="000B2632" w:rsidRPr="000B2632" w:rsidTr="001E5869">
        <w:tc>
          <w:tcPr>
            <w:tcW w:w="6660" w:type="dxa"/>
          </w:tcPr>
          <w:p w:rsidR="000B2632" w:rsidRPr="001E5869" w:rsidRDefault="000B2632" w:rsidP="000B2632">
            <w:pPr>
              <w:pStyle w:val="Recuodecorpodetexto"/>
              <w:spacing w:after="0"/>
              <w:ind w:left="0"/>
              <w:jc w:val="both"/>
              <w:rPr>
                <w:rFonts w:ascii="Century Gothic" w:hAnsi="Century Gothic" w:cs="Arial"/>
                <w:b/>
                <w:bCs/>
              </w:rPr>
            </w:pPr>
            <w:r w:rsidRPr="001E5869">
              <w:rPr>
                <w:rFonts w:ascii="Century Gothic" w:hAnsi="Century Gothic" w:cs="Arial"/>
                <w:b/>
                <w:bCs/>
              </w:rPr>
              <w:t>RECEITAS CORRENTES</w:t>
            </w:r>
          </w:p>
        </w:tc>
        <w:tc>
          <w:tcPr>
            <w:tcW w:w="720" w:type="dxa"/>
          </w:tcPr>
          <w:p w:rsidR="000B2632" w:rsidRPr="001E5869" w:rsidRDefault="000B2632" w:rsidP="001E5869">
            <w:pPr>
              <w:pStyle w:val="Recuodecorpodetexto"/>
              <w:spacing w:after="0"/>
              <w:ind w:left="0"/>
              <w:jc w:val="center"/>
              <w:rPr>
                <w:rFonts w:ascii="Century Gothic" w:hAnsi="Century Gothic" w:cs="Arial"/>
                <w:b/>
                <w:bCs/>
              </w:rPr>
            </w:pPr>
            <w:r w:rsidRPr="001E5869">
              <w:rPr>
                <w:rFonts w:ascii="Century Gothic" w:hAnsi="Century Gothic" w:cs="Arial"/>
                <w:b/>
                <w:bCs/>
              </w:rPr>
              <w:t>R$</w:t>
            </w:r>
          </w:p>
        </w:tc>
        <w:tc>
          <w:tcPr>
            <w:tcW w:w="2401" w:type="dxa"/>
          </w:tcPr>
          <w:p w:rsidR="000B2632" w:rsidRPr="001E5869" w:rsidRDefault="000B2632" w:rsidP="001E5869">
            <w:pPr>
              <w:pStyle w:val="Recuodecorpodetexto"/>
              <w:spacing w:after="0"/>
              <w:ind w:left="0"/>
              <w:jc w:val="right"/>
              <w:rPr>
                <w:rFonts w:ascii="Century Gothic" w:hAnsi="Century Gothic" w:cs="Arial"/>
                <w:b/>
                <w:bCs/>
              </w:rPr>
            </w:pPr>
            <w:r w:rsidRPr="001E5869">
              <w:rPr>
                <w:rFonts w:ascii="Century Gothic" w:hAnsi="Century Gothic" w:cs="Arial"/>
                <w:b/>
                <w:bCs/>
              </w:rPr>
              <w:t>13.650.239,46</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Receita Tributária</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514.867,44</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Receita Patrimonial</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198.700,00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Receita Agropecuária</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15.000,00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Receita de Serviços</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94.300,00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Transferências Correntes</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12.727.372,02</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Outras Receitas Correntes</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100.000,00</w:t>
            </w:r>
          </w:p>
        </w:tc>
      </w:tr>
      <w:tr w:rsidR="000B2632" w:rsidRPr="000B2632" w:rsidTr="001E5869">
        <w:tc>
          <w:tcPr>
            <w:tcW w:w="6660" w:type="dxa"/>
          </w:tcPr>
          <w:p w:rsidR="000B2632" w:rsidRPr="001E5869" w:rsidRDefault="000B2632" w:rsidP="000B2632">
            <w:pPr>
              <w:pStyle w:val="Recuodecorpodetexto"/>
              <w:spacing w:after="0"/>
              <w:ind w:left="0"/>
              <w:jc w:val="both"/>
              <w:rPr>
                <w:rFonts w:ascii="Century Gothic" w:hAnsi="Century Gothic" w:cs="Arial"/>
                <w:b/>
                <w:bCs/>
              </w:rPr>
            </w:pPr>
            <w:r w:rsidRPr="001E5869">
              <w:rPr>
                <w:rFonts w:ascii="Century Gothic" w:hAnsi="Century Gothic" w:cs="Arial"/>
                <w:b/>
                <w:bCs/>
              </w:rPr>
              <w:t>TOTAL</w:t>
            </w:r>
          </w:p>
        </w:tc>
        <w:tc>
          <w:tcPr>
            <w:tcW w:w="720" w:type="dxa"/>
          </w:tcPr>
          <w:p w:rsidR="000B2632" w:rsidRPr="001E5869" w:rsidRDefault="000B2632" w:rsidP="001E5869">
            <w:pPr>
              <w:pStyle w:val="Recuodecorpodetexto"/>
              <w:spacing w:after="0"/>
              <w:ind w:left="0"/>
              <w:jc w:val="center"/>
              <w:rPr>
                <w:rFonts w:ascii="Century Gothic" w:hAnsi="Century Gothic" w:cs="Arial"/>
                <w:b/>
                <w:bCs/>
              </w:rPr>
            </w:pPr>
            <w:r w:rsidRPr="001E5869">
              <w:rPr>
                <w:rFonts w:ascii="Century Gothic" w:hAnsi="Century Gothic" w:cs="Arial"/>
                <w:b/>
                <w:bCs/>
              </w:rPr>
              <w:t>R$</w:t>
            </w:r>
          </w:p>
        </w:tc>
        <w:tc>
          <w:tcPr>
            <w:tcW w:w="2401" w:type="dxa"/>
          </w:tcPr>
          <w:p w:rsidR="000B2632" w:rsidRPr="001E5869" w:rsidRDefault="000B2632" w:rsidP="001E5869">
            <w:pPr>
              <w:pStyle w:val="Recuodecorpodetexto"/>
              <w:spacing w:after="0"/>
              <w:ind w:left="0"/>
              <w:jc w:val="right"/>
              <w:rPr>
                <w:rFonts w:ascii="Century Gothic" w:hAnsi="Century Gothic" w:cs="Arial"/>
                <w:b/>
                <w:bCs/>
              </w:rPr>
            </w:pPr>
            <w:r w:rsidRPr="001E5869">
              <w:rPr>
                <w:rFonts w:ascii="Century Gothic" w:hAnsi="Century Gothic" w:cs="Arial"/>
                <w:b/>
                <w:bCs/>
              </w:rPr>
              <w:t>13.650.239,46</w:t>
            </w:r>
          </w:p>
        </w:tc>
      </w:tr>
    </w:tbl>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 2º.</w:t>
      </w:r>
      <w:r w:rsidRPr="000B2632">
        <w:rPr>
          <w:rFonts w:ascii="Century Gothic" w:hAnsi="Century Gothic" w:cs="Arial"/>
          <w:bCs/>
        </w:rPr>
        <w:t xml:space="preserve"> As Despesas serão realizadas de acordo com os Órgãos e Unidades Orçamentárias com a seguinte classificação:</w:t>
      </w:r>
    </w:p>
    <w:p w:rsidR="000B2632" w:rsidRPr="000B2632" w:rsidRDefault="000B2632" w:rsidP="000B2632">
      <w:pPr>
        <w:pStyle w:val="Recuodecorpodetexto"/>
        <w:spacing w:after="0"/>
        <w:ind w:left="0"/>
        <w:jc w:val="both"/>
        <w:rPr>
          <w:rFonts w:ascii="Century Gothic" w:hAnsi="Century Gothic" w:cs="Arial"/>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0"/>
        <w:gridCol w:w="720"/>
        <w:gridCol w:w="2401"/>
      </w:tblGrid>
      <w:tr w:rsidR="000B2632" w:rsidRPr="000B2632" w:rsidTr="001E5869">
        <w:tc>
          <w:tcPr>
            <w:tcW w:w="6660" w:type="dxa"/>
          </w:tcPr>
          <w:p w:rsidR="000B2632" w:rsidRPr="001E5869" w:rsidRDefault="000B2632" w:rsidP="000B2632">
            <w:pPr>
              <w:pStyle w:val="Recuodecorpodetexto"/>
              <w:spacing w:after="0"/>
              <w:ind w:left="0"/>
              <w:jc w:val="both"/>
              <w:rPr>
                <w:rFonts w:ascii="Century Gothic" w:hAnsi="Century Gothic" w:cs="Arial"/>
                <w:b/>
                <w:bCs/>
              </w:rPr>
            </w:pPr>
            <w:r w:rsidRPr="001E5869">
              <w:rPr>
                <w:rFonts w:ascii="Century Gothic" w:hAnsi="Century Gothic" w:cs="Arial"/>
                <w:b/>
                <w:bCs/>
              </w:rPr>
              <w:t>CLASSIFICAÇÃO INSTITUCIONAL</w:t>
            </w:r>
          </w:p>
        </w:tc>
        <w:tc>
          <w:tcPr>
            <w:tcW w:w="720" w:type="dxa"/>
          </w:tcPr>
          <w:p w:rsidR="000B2632" w:rsidRPr="001E5869" w:rsidRDefault="000B2632" w:rsidP="001E5869">
            <w:pPr>
              <w:pStyle w:val="Recuodecorpodetexto"/>
              <w:spacing w:after="0"/>
              <w:ind w:left="0"/>
              <w:jc w:val="center"/>
              <w:rPr>
                <w:rFonts w:ascii="Century Gothic" w:hAnsi="Century Gothic" w:cs="Arial"/>
                <w:b/>
                <w:bCs/>
              </w:rPr>
            </w:pPr>
            <w:r w:rsidRPr="001E5869">
              <w:rPr>
                <w:rFonts w:ascii="Century Gothic" w:hAnsi="Century Gothic" w:cs="Arial"/>
                <w:b/>
                <w:bCs/>
              </w:rPr>
              <w:t>R$</w:t>
            </w:r>
          </w:p>
        </w:tc>
        <w:tc>
          <w:tcPr>
            <w:tcW w:w="2401" w:type="dxa"/>
          </w:tcPr>
          <w:p w:rsidR="000B2632" w:rsidRPr="001E5869" w:rsidRDefault="000B2632" w:rsidP="001E5869">
            <w:pPr>
              <w:pStyle w:val="Recuodecorpodetexto"/>
              <w:spacing w:after="0"/>
              <w:ind w:left="0"/>
              <w:jc w:val="right"/>
              <w:rPr>
                <w:rFonts w:ascii="Century Gothic" w:hAnsi="Century Gothic" w:cs="Arial"/>
                <w:b/>
                <w:bCs/>
              </w:rPr>
            </w:pPr>
            <w:r w:rsidRPr="001E5869">
              <w:rPr>
                <w:rFonts w:ascii="Century Gothic" w:hAnsi="Century Gothic" w:cs="Arial"/>
                <w:b/>
                <w:bCs/>
              </w:rPr>
              <w:t>13.650.239,46</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Câmara de Vereadores</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743.644,42</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Gabinete do Prefeito e Vice Prefeito</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601.950,00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Secretaria de Administração, Planejamento e Gestão</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1.756.999,51</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Secretaria da Educação, Esporte e Turismo</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2.766.592,51</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Secretaria de Desenvolvimento Social</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834.250,00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Secretaria da Agricultura</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753.500,00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lastRenderedPageBreak/>
              <w:t>Secretaria de Infraestrutura</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1.774.350,00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Secretaria do Meio Ambiente</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271.500,00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da Criança e Adolescente</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10.500,00</w:t>
            </w:r>
          </w:p>
        </w:tc>
      </w:tr>
      <w:tr w:rsidR="000B2632" w:rsidRPr="000B2632" w:rsidTr="001E5869">
        <w:tc>
          <w:tcPr>
            <w:tcW w:w="6660" w:type="dxa"/>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de Habitação</w:t>
            </w:r>
          </w:p>
        </w:tc>
        <w:tc>
          <w:tcPr>
            <w:tcW w:w="720" w:type="dxa"/>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89.250,00</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da Cultura</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11.550,00</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do Idoso</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19.950,00</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de Assistência Social</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365.818,00</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Fundo de Saúde</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2.920.885,02</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Encargos Gerais</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724.500,00</w:t>
            </w:r>
          </w:p>
        </w:tc>
      </w:tr>
      <w:tr w:rsidR="000B2632" w:rsidRPr="000B2632" w:rsidTr="001E5869">
        <w:tc>
          <w:tcPr>
            <w:tcW w:w="6660" w:type="dxa"/>
            <w:tcBorders>
              <w:top w:val="single" w:sz="4" w:space="0" w:color="auto"/>
              <w:left w:val="single" w:sz="4" w:space="0" w:color="auto"/>
              <w:bottom w:val="single" w:sz="4" w:space="0" w:color="auto"/>
              <w:right w:val="single" w:sz="4" w:space="0" w:color="auto"/>
            </w:tcBorders>
          </w:tcPr>
          <w:p w:rsidR="000B2632" w:rsidRPr="000B2632" w:rsidRDefault="000B2632" w:rsidP="000B2632">
            <w:pPr>
              <w:pStyle w:val="Recuodecorpodetexto"/>
              <w:spacing w:after="0"/>
              <w:ind w:left="0"/>
              <w:jc w:val="both"/>
              <w:rPr>
                <w:rFonts w:ascii="Century Gothic" w:hAnsi="Century Gothic" w:cs="Arial"/>
                <w:bCs/>
              </w:rPr>
            </w:pPr>
            <w:r w:rsidRPr="000B2632">
              <w:rPr>
                <w:rFonts w:ascii="Century Gothic" w:hAnsi="Century Gothic" w:cs="Arial"/>
                <w:bCs/>
              </w:rPr>
              <w:t>Reserva de Contingência</w:t>
            </w:r>
          </w:p>
        </w:tc>
        <w:tc>
          <w:tcPr>
            <w:tcW w:w="720"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center"/>
              <w:rPr>
                <w:rFonts w:ascii="Century Gothic" w:hAnsi="Century Gothic" w:cs="Arial"/>
                <w:bCs/>
              </w:rPr>
            </w:pPr>
            <w:r w:rsidRPr="000B2632">
              <w:rPr>
                <w:rFonts w:ascii="Century Gothic" w:hAnsi="Century Gothic" w:cs="Arial"/>
                <w:bCs/>
              </w:rPr>
              <w:t>R$</w:t>
            </w:r>
          </w:p>
        </w:tc>
        <w:tc>
          <w:tcPr>
            <w:tcW w:w="2401" w:type="dxa"/>
            <w:tcBorders>
              <w:top w:val="single" w:sz="4" w:space="0" w:color="auto"/>
              <w:left w:val="single" w:sz="4" w:space="0" w:color="auto"/>
              <w:bottom w:val="single" w:sz="4" w:space="0" w:color="auto"/>
              <w:right w:val="single" w:sz="4" w:space="0" w:color="auto"/>
            </w:tcBorders>
          </w:tcPr>
          <w:p w:rsidR="000B2632" w:rsidRPr="000B2632" w:rsidRDefault="000B2632" w:rsidP="001E5869">
            <w:pPr>
              <w:pStyle w:val="Recuodecorpodetexto"/>
              <w:spacing w:after="0"/>
              <w:ind w:left="0"/>
              <w:jc w:val="right"/>
              <w:rPr>
                <w:rFonts w:ascii="Century Gothic" w:hAnsi="Century Gothic" w:cs="Arial"/>
                <w:bCs/>
              </w:rPr>
            </w:pPr>
            <w:r w:rsidRPr="000B2632">
              <w:rPr>
                <w:rFonts w:ascii="Century Gothic" w:hAnsi="Century Gothic" w:cs="Arial"/>
                <w:bCs/>
              </w:rPr>
              <w:t>5.000,00</w:t>
            </w:r>
          </w:p>
        </w:tc>
      </w:tr>
    </w:tbl>
    <w:p w:rsidR="000B2632" w:rsidRPr="000B2632" w:rsidRDefault="000B2632" w:rsidP="000B2632">
      <w:pPr>
        <w:pStyle w:val="Recuodecorpodetexto"/>
        <w:spacing w:after="0"/>
        <w:ind w:left="0" w:firstLine="1080"/>
        <w:jc w:val="both"/>
        <w:rPr>
          <w:rFonts w:ascii="Century Gothic" w:hAnsi="Century Gothic" w:cs="Arial"/>
          <w:bCs/>
        </w:rPr>
      </w:pPr>
    </w:p>
    <w:p w:rsidR="000B2632" w:rsidRDefault="000B2632" w:rsidP="000B2632">
      <w:pPr>
        <w:pStyle w:val="Recuodecorpodetexto"/>
        <w:spacing w:after="0"/>
        <w:ind w:left="0" w:firstLine="1080"/>
        <w:jc w:val="center"/>
        <w:rPr>
          <w:rFonts w:ascii="Century Gothic" w:hAnsi="Century Gothic" w:cs="Arial"/>
          <w:b/>
          <w:bCs/>
          <w:u w:val="single"/>
        </w:rPr>
      </w:pPr>
      <w:r w:rsidRPr="000B2632">
        <w:rPr>
          <w:rFonts w:ascii="Century Gothic" w:hAnsi="Century Gothic" w:cs="Arial"/>
          <w:b/>
          <w:bCs/>
          <w:u w:val="single"/>
        </w:rPr>
        <w:t>DO ORÇAMENTO DA PREFEITURA</w:t>
      </w:r>
    </w:p>
    <w:p w:rsidR="000B2632" w:rsidRPr="000B2632" w:rsidRDefault="000B2632" w:rsidP="000B2632">
      <w:pPr>
        <w:pStyle w:val="Recuodecorpodetexto"/>
        <w:spacing w:after="0"/>
        <w:ind w:left="0" w:firstLine="1080"/>
        <w:jc w:val="center"/>
        <w:rPr>
          <w:rFonts w:ascii="Century Gothic" w:hAnsi="Century Gothic" w:cs="Arial"/>
          <w:b/>
          <w:bCs/>
          <w:u w:val="single"/>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2º.</w:t>
      </w:r>
      <w:r w:rsidRPr="000B2632">
        <w:rPr>
          <w:rFonts w:ascii="Century Gothic" w:hAnsi="Century Gothic" w:cs="Arial"/>
          <w:bCs/>
        </w:rPr>
        <w:t xml:space="preserve"> É estimada a receita em R$ 13.018.891,94 (treze milhões, dezoito mil, oitocentos e noventa e um reais e noventa e quatro centavos); fixada a despesa em R$ 9.985.710,02 (nove milhões, novecentos e oitenta e cinco mil, setecentos e dez reais e dois centavos); Transferências Financeiras para o Fundo Municipal de Saúde em R$ 2.289.537,50 (dois milhões, duzentos e oitenta e nove mil, quinhentos e trinta e sete reais e cinquenta centavos); Repasse Financeiro para a Câmara de Vereadores em R$ 743.644,42 (setecentos e quarenta e três mil, seiscentos e quarenta e quatro reais e quarenta e dois centavos).</w:t>
      </w:r>
    </w:p>
    <w:p w:rsidR="000B2632" w:rsidRPr="000B2632" w:rsidRDefault="000B2632" w:rsidP="000B2632">
      <w:pPr>
        <w:pStyle w:val="Recuodecorpodetexto"/>
        <w:spacing w:after="0"/>
        <w:ind w:left="0"/>
        <w:jc w:val="both"/>
        <w:rPr>
          <w:rFonts w:ascii="Century Gothic" w:hAnsi="Century Gothic" w:cs="Arial"/>
          <w:bCs/>
        </w:rPr>
      </w:pPr>
    </w:p>
    <w:p w:rsidR="000B2632" w:rsidRPr="000B2632" w:rsidRDefault="000B2632" w:rsidP="000B2632">
      <w:pPr>
        <w:pStyle w:val="Recuodecorpodetexto"/>
        <w:spacing w:after="0"/>
        <w:ind w:left="0"/>
        <w:jc w:val="center"/>
        <w:rPr>
          <w:rFonts w:ascii="Century Gothic" w:hAnsi="Century Gothic" w:cs="Arial"/>
          <w:b/>
          <w:bCs/>
          <w:u w:val="single"/>
        </w:rPr>
      </w:pPr>
      <w:r w:rsidRPr="000B2632">
        <w:rPr>
          <w:rFonts w:ascii="Century Gothic" w:hAnsi="Century Gothic" w:cs="Arial"/>
          <w:b/>
          <w:bCs/>
          <w:u w:val="single"/>
        </w:rPr>
        <w:t>DO ORÇAMENTO DO FUNDO MUNICIPAL DE SAÚDE</w:t>
      </w:r>
    </w:p>
    <w:p w:rsidR="000B2632" w:rsidRPr="000B2632" w:rsidRDefault="000B2632" w:rsidP="000B2632">
      <w:pPr>
        <w:pStyle w:val="Recuodecorpodetexto"/>
        <w:spacing w:after="0"/>
        <w:ind w:left="0" w:firstLine="180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3º.</w:t>
      </w:r>
      <w:r w:rsidRPr="000B2632">
        <w:rPr>
          <w:rFonts w:ascii="Century Gothic" w:hAnsi="Century Gothic" w:cs="Arial"/>
          <w:bCs/>
        </w:rPr>
        <w:t xml:space="preserve"> O Orçamento do Fundo Municipal de Saúde estima a receita em R$ 631.347,52 (seiscentos e trinta e um mil, trezentos e quarenta e sete reais e cinquenta e dois centavos); fixa a despesa em R$ 2.920.885,02 (dois milhões, novecentos e vinte mil, oitocentos e oitenta e cinco reais e dois centavos) e Transferências Financeiras do Município em R$ 2.289.537,50 (dois milhões, duzentos e oitenta e nove mil, quinhentos e trinta e sete reais e cinquenta centavos). </w:t>
      </w:r>
    </w:p>
    <w:p w:rsidR="001E5869" w:rsidRDefault="001E5869" w:rsidP="000B2632">
      <w:pPr>
        <w:pStyle w:val="Recuodecorpodetexto"/>
        <w:spacing w:after="0"/>
        <w:ind w:left="0"/>
        <w:jc w:val="center"/>
        <w:rPr>
          <w:rFonts w:ascii="Century Gothic" w:hAnsi="Century Gothic" w:cs="Arial"/>
          <w:b/>
          <w:bCs/>
          <w:u w:val="single"/>
        </w:rPr>
      </w:pPr>
    </w:p>
    <w:p w:rsidR="000B2632" w:rsidRDefault="000B2632" w:rsidP="000B2632">
      <w:pPr>
        <w:pStyle w:val="Recuodecorpodetexto"/>
        <w:spacing w:after="0"/>
        <w:ind w:left="0"/>
        <w:jc w:val="center"/>
        <w:rPr>
          <w:rFonts w:ascii="Century Gothic" w:hAnsi="Century Gothic" w:cs="Arial"/>
          <w:b/>
          <w:bCs/>
          <w:u w:val="single"/>
        </w:rPr>
      </w:pPr>
      <w:r w:rsidRPr="000B2632">
        <w:rPr>
          <w:rFonts w:ascii="Century Gothic" w:hAnsi="Century Gothic" w:cs="Arial"/>
          <w:b/>
          <w:bCs/>
          <w:u w:val="single"/>
        </w:rPr>
        <w:t>DO ORÇAMENTO DA CÂMARA DE VEREADORES</w:t>
      </w:r>
    </w:p>
    <w:p w:rsidR="000B2632" w:rsidRPr="000B2632" w:rsidRDefault="000B2632" w:rsidP="000B2632">
      <w:pPr>
        <w:pStyle w:val="Recuodecorpodetexto"/>
        <w:spacing w:after="0"/>
        <w:ind w:left="0"/>
        <w:jc w:val="center"/>
        <w:rPr>
          <w:rFonts w:ascii="Century Gothic" w:hAnsi="Century Gothic" w:cs="Arial"/>
          <w:b/>
          <w:bCs/>
          <w:u w:val="single"/>
        </w:rPr>
      </w:pPr>
    </w:p>
    <w:p w:rsid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4º.</w:t>
      </w:r>
      <w:r w:rsidRPr="000B2632">
        <w:rPr>
          <w:rFonts w:ascii="Century Gothic" w:hAnsi="Century Gothic" w:cs="Arial"/>
          <w:bCs/>
        </w:rPr>
        <w:t xml:space="preserve"> O Orçamento da Câmara de Vereadores fixa a despesa e a Transferência Financeira do Município limitado em R$ 743.644,42 (setecentos e quarenta e três mil, seiscentos e quarenta e quatro reais e quarenta e dois centavos), os quais serão transferidos nos limites estabelecidos pelo Constituição Federal.</w:t>
      </w:r>
    </w:p>
    <w:p w:rsidR="001E5869" w:rsidRDefault="001E5869" w:rsidP="000B2632">
      <w:pPr>
        <w:pStyle w:val="Recuodecorpodetexto"/>
        <w:spacing w:after="0"/>
        <w:ind w:left="0" w:firstLine="1080"/>
        <w:jc w:val="both"/>
        <w:rPr>
          <w:rFonts w:ascii="Century Gothic" w:hAnsi="Century Gothic" w:cs="Arial"/>
          <w:bCs/>
        </w:rPr>
      </w:pPr>
    </w:p>
    <w:p w:rsidR="000B2632" w:rsidRDefault="000B2632" w:rsidP="000B2632">
      <w:pPr>
        <w:pStyle w:val="Recuodecorpodetexto"/>
        <w:spacing w:after="0"/>
        <w:ind w:left="0"/>
        <w:jc w:val="center"/>
        <w:rPr>
          <w:rFonts w:ascii="Century Gothic" w:hAnsi="Century Gothic" w:cs="Arial"/>
          <w:b/>
          <w:bCs/>
          <w:u w:val="single"/>
        </w:rPr>
      </w:pPr>
      <w:r w:rsidRPr="000B2632">
        <w:rPr>
          <w:rFonts w:ascii="Century Gothic" w:hAnsi="Century Gothic" w:cs="Arial"/>
          <w:b/>
          <w:bCs/>
          <w:u w:val="single"/>
        </w:rPr>
        <w:t>DAS DISPOSIÇÕES GERAIS</w:t>
      </w:r>
    </w:p>
    <w:p w:rsidR="000B2632" w:rsidRPr="000B2632" w:rsidRDefault="000B2632" w:rsidP="000B2632">
      <w:pPr>
        <w:pStyle w:val="Recuodecorpodetexto"/>
        <w:spacing w:after="0"/>
        <w:ind w:left="0"/>
        <w:jc w:val="center"/>
        <w:rPr>
          <w:rFonts w:ascii="Century Gothic" w:hAnsi="Century Gothic" w:cs="Arial"/>
          <w:b/>
          <w:bCs/>
          <w:u w:val="single"/>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lastRenderedPageBreak/>
        <w:t>Art. 5º.</w:t>
      </w:r>
      <w:r w:rsidRPr="000B2632">
        <w:rPr>
          <w:rFonts w:ascii="Century Gothic" w:hAnsi="Century Gothic" w:cs="Arial"/>
          <w:bCs/>
        </w:rPr>
        <w:t xml:space="preserve"> Os recursos da Reserva de Contingência serão destinados ao atendimento de passivos contingentes, intempéries, outros riscos e eventos fiscais imprevistos e superávit orçamentário.</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6º.</w:t>
      </w:r>
      <w:r w:rsidRPr="000B2632">
        <w:rPr>
          <w:rFonts w:ascii="Century Gothic" w:hAnsi="Century Gothic" w:cs="Arial"/>
          <w:bCs/>
        </w:rPr>
        <w:t xml:space="preserve"> O Executivo está autorizado, nos termos do art. 7º da Lei Federal nº 4320/64, a abrir créditos adicionais suplementares, até o limite de 10% (dez por cento) da receita total estimada utilizando como fontes de recursos:</w:t>
      </w: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I</w:t>
      </w:r>
      <w:r w:rsidRPr="000B2632">
        <w:rPr>
          <w:rFonts w:ascii="Century Gothic" w:hAnsi="Century Gothic" w:cs="Arial"/>
          <w:bCs/>
        </w:rPr>
        <w:t xml:space="preserve"> - o excesso ou provável excesso de arrecadação, observada a tendência do exercício;</w:t>
      </w: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II</w:t>
      </w:r>
      <w:r w:rsidRPr="000B2632">
        <w:rPr>
          <w:rFonts w:ascii="Century Gothic" w:hAnsi="Century Gothic" w:cs="Arial"/>
          <w:bCs/>
        </w:rPr>
        <w:t xml:space="preserve"> - superávit financeiro do exercício anterior;</w:t>
      </w: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III</w:t>
      </w:r>
      <w:r w:rsidRPr="000B2632">
        <w:rPr>
          <w:rFonts w:ascii="Century Gothic" w:hAnsi="Century Gothic" w:cs="Arial"/>
          <w:bCs/>
        </w:rPr>
        <w:t xml:space="preserve"> – os resultantes de anulação parcial ou total de dotações orçamentárias ou de créditos adicionais, autorizados em lei;</w:t>
      </w: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IV</w:t>
      </w:r>
      <w:r w:rsidRPr="000B2632">
        <w:rPr>
          <w:rFonts w:ascii="Century Gothic" w:hAnsi="Century Gothic" w:cs="Arial"/>
          <w:bCs/>
        </w:rPr>
        <w:t xml:space="preserve"> – o produto de operações de crédito autorizadas, em forma que juridicamente possibilite ao poder executivo realizá-las.</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Parágrafo Único</w:t>
      </w:r>
      <w:r w:rsidRPr="000B2632">
        <w:rPr>
          <w:rFonts w:ascii="Century Gothic" w:hAnsi="Century Gothic" w:cs="Arial"/>
          <w:bCs/>
        </w:rPr>
        <w:t xml:space="preserve"> - Excluem-se deste limite, os créditos adicionais suplementares, decorrentes de leis municipais específicas e os recursos provenientes de convênios celebrados com os Governos Estadual e Federal com objeto específico.</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7º.</w:t>
      </w:r>
      <w:r w:rsidRPr="000B2632">
        <w:rPr>
          <w:rFonts w:ascii="Century Gothic" w:hAnsi="Century Gothic" w:cs="Arial"/>
          <w:bCs/>
        </w:rPr>
        <w:t xml:space="preserve"> As despesas por conta de dotações vinculadas a convênios, operações de crédito e outras receitas de realização extraordinária, só serão executadas ou utilizadas de alguma forma, se estiver assegurado seu ingresso no fluxo de caixa.</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8º.</w:t>
      </w:r>
      <w:r w:rsidRPr="000B2632">
        <w:rPr>
          <w:rFonts w:ascii="Century Gothic" w:hAnsi="Century Gothic" w:cs="Arial"/>
          <w:bCs/>
        </w:rPr>
        <w:t xml:space="preserve">  Os recursos oriundos de convênios não previstos no orçamento da receita, ou o seu excesso poderão ser utilizados como fontes de recursos para abertura de créditos adicionais suplementares de projetos, atividades ou operações especiais por ato do Chefe do Poder Executivo Municipal não se limitando ao previsto no art. 6º.</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9º.</w:t>
      </w:r>
      <w:r w:rsidRPr="000B2632">
        <w:rPr>
          <w:rFonts w:ascii="Century Gothic" w:hAnsi="Century Gothic" w:cs="Arial"/>
          <w:bCs/>
        </w:rPr>
        <w:t xml:space="preserve"> Durante o exercício financeiro de 2018 fica o Chefe do Poder Executivo Municipal a efetuar por Decreto o remanejamento do saldo de dotações orçamentárias existentes dentro da mesma “categoria econômica de despesa” ou “categoria diferente” desde que, dentro do mesmo projeto, atividade ou operação especial não se limitando ao previsto no art. 6º.</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10</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Durante o exercício de 2018 o Poder Executivo poderá realizar operações de crédito para financiamento de programas priorizados nesta lei, nos termos da legislação aplicável.</w:t>
      </w:r>
    </w:p>
    <w:p w:rsidR="000B2632" w:rsidRPr="000B2632" w:rsidRDefault="000B2632" w:rsidP="000B2632">
      <w:pPr>
        <w:pStyle w:val="Recuodecorpodetexto"/>
        <w:spacing w:after="0"/>
        <w:ind w:left="0" w:firstLine="1080"/>
        <w:jc w:val="both"/>
        <w:rPr>
          <w:rFonts w:ascii="Century Gothic" w:hAnsi="Century Gothic" w:cs="Arial"/>
          <w:bCs/>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lastRenderedPageBreak/>
        <w:t>Art. 11</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Comprovado o interesse público municipal e mediante convênio, acordo ou ajuste, o Executivo poderá assumir custeio de competência de outros entes da Federação.</w:t>
      </w:r>
    </w:p>
    <w:p w:rsidR="000B2632" w:rsidRPr="008A779B" w:rsidRDefault="000B2632" w:rsidP="000B2632">
      <w:pPr>
        <w:pStyle w:val="Recuodecorpodetexto"/>
        <w:spacing w:after="0"/>
        <w:ind w:left="0" w:firstLine="1080"/>
        <w:jc w:val="both"/>
        <w:rPr>
          <w:rFonts w:ascii="Century Gothic" w:hAnsi="Century Gothic" w:cs="Arial"/>
          <w:b/>
          <w:bCs/>
          <w:sz w:val="20"/>
          <w:szCs w:val="20"/>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12</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Durante o exercício de 2018, fica o Executivo Municipal autorizado a firmar convênios com os governos Federal, Estadual e Municipal, diretamente ou através de seus órgãos da administração direta ou indireta.</w:t>
      </w:r>
    </w:p>
    <w:p w:rsidR="000B2632" w:rsidRPr="008A779B" w:rsidRDefault="000B2632" w:rsidP="000B2632">
      <w:pPr>
        <w:pStyle w:val="Recuodecorpodetexto"/>
        <w:spacing w:after="0"/>
        <w:ind w:left="0" w:firstLine="1080"/>
        <w:jc w:val="both"/>
        <w:rPr>
          <w:rFonts w:ascii="Century Gothic" w:hAnsi="Century Gothic" w:cs="Arial"/>
          <w:bCs/>
          <w:sz w:val="20"/>
          <w:szCs w:val="20"/>
        </w:rPr>
      </w:pPr>
    </w:p>
    <w:p w:rsidR="000B2632" w:rsidRPr="000B2632" w:rsidRDefault="000B2632" w:rsidP="000B2632">
      <w:pPr>
        <w:pStyle w:val="Recuodecorpodetexto"/>
        <w:spacing w:after="0"/>
        <w:ind w:left="0" w:firstLine="1080"/>
        <w:jc w:val="both"/>
        <w:rPr>
          <w:rFonts w:ascii="Century Gothic" w:hAnsi="Century Gothic" w:cs="Arial"/>
          <w:bCs/>
        </w:rPr>
      </w:pPr>
      <w:r w:rsidRPr="000B2632">
        <w:rPr>
          <w:rFonts w:ascii="Century Gothic" w:hAnsi="Century Gothic" w:cs="Arial"/>
          <w:b/>
          <w:bCs/>
        </w:rPr>
        <w:t>Art. 13</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Na elaboração do Cronograma de Metas Bimestrais de Arrecadação, não serão consideradas as receitas de capital previstas, tendo em vista serem recursos vinculados a convênios e operações de crédito com fim específico.</w:t>
      </w:r>
    </w:p>
    <w:p w:rsidR="000B2632" w:rsidRPr="008A779B" w:rsidRDefault="000B2632" w:rsidP="000B2632">
      <w:pPr>
        <w:ind w:firstLine="1080"/>
        <w:jc w:val="both"/>
        <w:rPr>
          <w:rFonts w:ascii="Century Gothic" w:hAnsi="Century Gothic" w:cs="Arial"/>
          <w:bCs/>
          <w:sz w:val="16"/>
          <w:szCs w:val="16"/>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14</w:t>
      </w:r>
      <w:r>
        <w:rPr>
          <w:rFonts w:ascii="Century Gothic" w:hAnsi="Century Gothic" w:cs="Arial"/>
          <w:b/>
          <w:bCs/>
        </w:rPr>
        <w:t>º</w:t>
      </w:r>
      <w:r w:rsidRPr="000B2632">
        <w:rPr>
          <w:rFonts w:ascii="Century Gothic" w:hAnsi="Century Gothic" w:cs="Arial"/>
          <w:bCs/>
        </w:rPr>
        <w:t>. Os anexos da Lei Orçamentária foram elaborados até o nível de modalidade de aplicação, sendo que a execução se dará em nível de elemento de despesa.</w:t>
      </w:r>
    </w:p>
    <w:p w:rsidR="000B2632" w:rsidRPr="008A779B" w:rsidRDefault="000B2632" w:rsidP="000B2632">
      <w:pPr>
        <w:ind w:firstLine="1080"/>
        <w:jc w:val="both"/>
        <w:rPr>
          <w:rFonts w:ascii="Century Gothic" w:hAnsi="Century Gothic" w:cs="Arial"/>
          <w:bCs/>
          <w:sz w:val="20"/>
          <w:szCs w:val="20"/>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15</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No exercício financeiro de 2018 a contabilidade do Fundo Municipal de Saúde ficará na forma de Unidade Gestora Independente e dos demais Fundos Municipais na forma de Unidade Orçamentária.</w:t>
      </w:r>
    </w:p>
    <w:p w:rsidR="000B2632" w:rsidRPr="008A779B" w:rsidRDefault="000B2632" w:rsidP="000B2632">
      <w:pPr>
        <w:ind w:firstLine="1080"/>
        <w:jc w:val="both"/>
        <w:rPr>
          <w:rFonts w:ascii="Century Gothic" w:hAnsi="Century Gothic" w:cs="Arial"/>
          <w:bCs/>
          <w:sz w:val="20"/>
          <w:szCs w:val="20"/>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16</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Com a Lei Orçamentária para o exercício de 2018, ficam atualizados os anexos que integram o Plano Plurianual – PPA 2018/2021 e Lei de Diretrizes Orçamentárias – LDO para o exercício de 2018. </w:t>
      </w:r>
    </w:p>
    <w:p w:rsidR="000B2632" w:rsidRPr="008A779B" w:rsidRDefault="000B2632" w:rsidP="000B2632">
      <w:pPr>
        <w:ind w:firstLine="1080"/>
        <w:jc w:val="both"/>
        <w:rPr>
          <w:rFonts w:ascii="Century Gothic" w:hAnsi="Century Gothic" w:cs="Arial"/>
          <w:bCs/>
          <w:sz w:val="20"/>
          <w:szCs w:val="20"/>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17</w:t>
      </w:r>
      <w:r>
        <w:rPr>
          <w:rFonts w:ascii="Century Gothic" w:hAnsi="Century Gothic" w:cs="Arial"/>
          <w:b/>
          <w:bCs/>
        </w:rPr>
        <w:t>º</w:t>
      </w:r>
      <w:r w:rsidRPr="000B2632">
        <w:rPr>
          <w:rFonts w:ascii="Century Gothic" w:hAnsi="Century Gothic" w:cs="Arial"/>
          <w:bCs/>
        </w:rPr>
        <w:t>.  Esta Lei entra em vigor na data de sua publicação, para produzir efeitos a partir de 01 de janeiro de 2018.</w:t>
      </w:r>
    </w:p>
    <w:p w:rsidR="000B2632" w:rsidRPr="008A779B" w:rsidRDefault="000B2632" w:rsidP="000B2632">
      <w:pPr>
        <w:ind w:firstLine="1080"/>
        <w:jc w:val="both"/>
        <w:rPr>
          <w:rFonts w:ascii="Century Gothic" w:hAnsi="Century Gothic" w:cs="Arial"/>
          <w:bCs/>
          <w:sz w:val="16"/>
          <w:szCs w:val="16"/>
        </w:rPr>
      </w:pPr>
    </w:p>
    <w:p w:rsidR="000B2632" w:rsidRPr="000B2632" w:rsidRDefault="000B2632" w:rsidP="000B2632">
      <w:pPr>
        <w:ind w:firstLine="1080"/>
        <w:jc w:val="both"/>
        <w:rPr>
          <w:rFonts w:ascii="Century Gothic" w:hAnsi="Century Gothic" w:cs="Arial"/>
          <w:bCs/>
        </w:rPr>
      </w:pPr>
      <w:r w:rsidRPr="000B2632">
        <w:rPr>
          <w:rFonts w:ascii="Century Gothic" w:hAnsi="Century Gothic" w:cs="Arial"/>
          <w:b/>
          <w:bCs/>
        </w:rPr>
        <w:t>Art. 18</w:t>
      </w:r>
      <w:r>
        <w:rPr>
          <w:rFonts w:ascii="Century Gothic" w:hAnsi="Century Gothic" w:cs="Arial"/>
          <w:b/>
          <w:bCs/>
        </w:rPr>
        <w:t>º</w:t>
      </w:r>
      <w:r w:rsidRPr="000B2632">
        <w:rPr>
          <w:rFonts w:ascii="Century Gothic" w:hAnsi="Century Gothic" w:cs="Arial"/>
          <w:b/>
          <w:bCs/>
        </w:rPr>
        <w:t>.</w:t>
      </w:r>
      <w:r w:rsidRPr="000B2632">
        <w:rPr>
          <w:rFonts w:ascii="Century Gothic" w:hAnsi="Century Gothic" w:cs="Arial"/>
          <w:bCs/>
        </w:rPr>
        <w:t xml:space="preserve"> Revogam-se as disposições em contrário.</w:t>
      </w:r>
    </w:p>
    <w:p w:rsidR="000B2632" w:rsidRDefault="000B2632" w:rsidP="000B2632">
      <w:pPr>
        <w:pStyle w:val="Recuodecorpodetexto"/>
        <w:spacing w:after="0"/>
        <w:ind w:left="0" w:firstLine="1800"/>
        <w:jc w:val="right"/>
        <w:rPr>
          <w:rFonts w:ascii="Century Gothic" w:hAnsi="Century Gothic" w:cs="Arial"/>
          <w:bCs/>
        </w:rPr>
      </w:pPr>
    </w:p>
    <w:p w:rsidR="000B2632" w:rsidRPr="000B2632" w:rsidRDefault="000B2632" w:rsidP="000B2632">
      <w:pPr>
        <w:pStyle w:val="Recuodecorpodetexto"/>
        <w:spacing w:after="0"/>
        <w:ind w:left="0" w:firstLine="1800"/>
        <w:jc w:val="right"/>
        <w:rPr>
          <w:rFonts w:ascii="Century Gothic" w:hAnsi="Century Gothic" w:cs="Arial"/>
          <w:bCs/>
        </w:rPr>
      </w:pPr>
      <w:r w:rsidRPr="000B2632">
        <w:rPr>
          <w:rFonts w:ascii="Century Gothic" w:hAnsi="Century Gothic" w:cs="Arial"/>
          <w:bCs/>
        </w:rPr>
        <w:t xml:space="preserve">Ouro Verde SC, </w:t>
      </w:r>
      <w:r w:rsidR="008A779B">
        <w:rPr>
          <w:rFonts w:ascii="Century Gothic" w:hAnsi="Century Gothic" w:cs="Arial"/>
          <w:bCs/>
        </w:rPr>
        <w:t>18</w:t>
      </w:r>
      <w:r w:rsidRPr="000B2632">
        <w:rPr>
          <w:rFonts w:ascii="Century Gothic" w:hAnsi="Century Gothic" w:cs="Arial"/>
          <w:bCs/>
        </w:rPr>
        <w:t xml:space="preserve"> de dezembro de 2017.</w:t>
      </w:r>
    </w:p>
    <w:p w:rsidR="000B2632" w:rsidRPr="000B2632" w:rsidRDefault="000B2632" w:rsidP="000B2632">
      <w:pPr>
        <w:widowControl w:val="0"/>
        <w:ind w:firstLine="180"/>
        <w:jc w:val="both"/>
        <w:rPr>
          <w:rFonts w:ascii="Century Gothic" w:hAnsi="Century Gothic" w:cs="Arial"/>
          <w:bCs/>
          <w:snapToGrid w:val="0"/>
        </w:rPr>
      </w:pPr>
    </w:p>
    <w:p w:rsidR="000B2632" w:rsidRPr="008A779B" w:rsidRDefault="000B2632" w:rsidP="000B2632">
      <w:pPr>
        <w:widowControl w:val="0"/>
        <w:ind w:firstLine="180"/>
        <w:jc w:val="both"/>
        <w:rPr>
          <w:rFonts w:ascii="Century Gothic" w:hAnsi="Century Gothic" w:cs="Arial"/>
          <w:snapToGrid w:val="0"/>
          <w:sz w:val="16"/>
          <w:szCs w:val="16"/>
        </w:rPr>
      </w:pPr>
    </w:p>
    <w:p w:rsidR="000B2632" w:rsidRPr="008A779B" w:rsidRDefault="000B2632" w:rsidP="000B2632">
      <w:pPr>
        <w:spacing w:line="276" w:lineRule="auto"/>
        <w:ind w:right="-54"/>
        <w:jc w:val="both"/>
        <w:rPr>
          <w:rFonts w:ascii="Century Gothic" w:hAnsi="Century Gothic"/>
          <w:sz w:val="16"/>
          <w:szCs w:val="16"/>
        </w:rPr>
      </w:pPr>
    </w:p>
    <w:p w:rsidR="000B2632" w:rsidRPr="000B2632" w:rsidRDefault="000B2632" w:rsidP="000B2632">
      <w:pPr>
        <w:spacing w:line="276" w:lineRule="auto"/>
        <w:jc w:val="center"/>
        <w:rPr>
          <w:rFonts w:ascii="Century Gothic" w:hAnsi="Century Gothic" w:cs="Arial"/>
          <w:b/>
        </w:rPr>
      </w:pPr>
      <w:r w:rsidRPr="000B2632">
        <w:rPr>
          <w:rFonts w:ascii="Century Gothic" w:hAnsi="Century Gothic" w:cs="Arial"/>
          <w:b/>
        </w:rPr>
        <w:t>AMÉLIO REMOR JÚNIOR</w:t>
      </w:r>
    </w:p>
    <w:p w:rsidR="000B2632" w:rsidRDefault="000B2632" w:rsidP="001E5869">
      <w:pPr>
        <w:spacing w:line="276" w:lineRule="auto"/>
        <w:jc w:val="center"/>
        <w:rPr>
          <w:rFonts w:ascii="Century Gothic" w:hAnsi="Century Gothic" w:cs="Arial"/>
          <w:b/>
        </w:rPr>
      </w:pPr>
      <w:r w:rsidRPr="000B2632">
        <w:rPr>
          <w:rFonts w:ascii="Century Gothic" w:hAnsi="Century Gothic" w:cs="Arial"/>
          <w:b/>
        </w:rPr>
        <w:t>Prefeito Municipal</w:t>
      </w:r>
    </w:p>
    <w:p w:rsidR="008A779B" w:rsidRPr="008A779B" w:rsidRDefault="008A779B" w:rsidP="001E5869">
      <w:pPr>
        <w:spacing w:line="276" w:lineRule="auto"/>
        <w:jc w:val="center"/>
        <w:rPr>
          <w:rFonts w:ascii="Century Gothic" w:hAnsi="Century Gothic" w:cs="Arial"/>
          <w:sz w:val="16"/>
          <w:szCs w:val="16"/>
        </w:rPr>
      </w:pPr>
    </w:p>
    <w:p w:rsidR="00C80B19" w:rsidRDefault="008A779B" w:rsidP="008A779B">
      <w:pPr>
        <w:autoSpaceDE w:val="0"/>
        <w:autoSpaceDN w:val="0"/>
        <w:adjustRightInd w:val="0"/>
        <w:ind w:firstLine="1134"/>
        <w:jc w:val="both"/>
        <w:rPr>
          <w:rFonts w:ascii="Century Gothic" w:hAnsi="Century Gothic" w:cs="Arial"/>
        </w:rPr>
      </w:pPr>
      <w:r>
        <w:rPr>
          <w:rFonts w:ascii="Century Gothic" w:hAnsi="Century Gothic" w:cs="Arial"/>
        </w:rPr>
        <w:t>A presente Lei foi registrada e publicada em data supra.</w:t>
      </w:r>
    </w:p>
    <w:p w:rsidR="008A779B" w:rsidRDefault="008A779B" w:rsidP="000B2632">
      <w:pPr>
        <w:autoSpaceDE w:val="0"/>
        <w:autoSpaceDN w:val="0"/>
        <w:adjustRightInd w:val="0"/>
        <w:jc w:val="both"/>
        <w:rPr>
          <w:rFonts w:ascii="Century Gothic" w:hAnsi="Century Gothic" w:cs="Arial"/>
        </w:rPr>
      </w:pPr>
    </w:p>
    <w:p w:rsidR="008A779B" w:rsidRPr="008A779B" w:rsidRDefault="008A779B" w:rsidP="000B2632">
      <w:pPr>
        <w:autoSpaceDE w:val="0"/>
        <w:autoSpaceDN w:val="0"/>
        <w:adjustRightInd w:val="0"/>
        <w:jc w:val="both"/>
        <w:rPr>
          <w:rFonts w:ascii="Century Gothic" w:hAnsi="Century Gothic" w:cs="Arial"/>
          <w:sz w:val="20"/>
          <w:szCs w:val="20"/>
        </w:rPr>
      </w:pPr>
    </w:p>
    <w:p w:rsidR="008A779B" w:rsidRPr="008A779B" w:rsidRDefault="008A779B" w:rsidP="008A779B">
      <w:pPr>
        <w:autoSpaceDE w:val="0"/>
        <w:autoSpaceDN w:val="0"/>
        <w:adjustRightInd w:val="0"/>
        <w:jc w:val="center"/>
        <w:rPr>
          <w:rFonts w:ascii="Century Gothic" w:hAnsi="Century Gothic" w:cs="Arial"/>
          <w:b/>
        </w:rPr>
      </w:pPr>
      <w:r w:rsidRPr="008A779B">
        <w:rPr>
          <w:rFonts w:ascii="Century Gothic" w:hAnsi="Century Gothic" w:cs="Arial"/>
          <w:b/>
        </w:rPr>
        <w:t>ADÉCIO VALNEDOLF KOSINSKI</w:t>
      </w:r>
    </w:p>
    <w:p w:rsidR="008A779B" w:rsidRPr="008A779B" w:rsidRDefault="008A779B" w:rsidP="008A779B">
      <w:pPr>
        <w:autoSpaceDE w:val="0"/>
        <w:autoSpaceDN w:val="0"/>
        <w:adjustRightInd w:val="0"/>
        <w:jc w:val="center"/>
        <w:rPr>
          <w:rFonts w:ascii="Century Gothic" w:hAnsi="Century Gothic" w:cs="Arial"/>
          <w:b/>
        </w:rPr>
      </w:pPr>
      <w:r w:rsidRPr="008A779B">
        <w:rPr>
          <w:rFonts w:ascii="Century Gothic" w:hAnsi="Century Gothic" w:cs="Arial"/>
          <w:b/>
        </w:rPr>
        <w:t>Vice Prefeito Municipal</w:t>
      </w:r>
      <w:r w:rsidRPr="008A779B">
        <w:rPr>
          <w:rFonts w:ascii="Century Gothic" w:hAnsi="Century Gothic" w:cs="Arial"/>
          <w:b/>
        </w:rPr>
        <w:tab/>
      </w:r>
    </w:p>
    <w:sectPr w:rsidR="008A779B" w:rsidRPr="008A779B" w:rsidSect="001E5869">
      <w:headerReference w:type="default" r:id="rId9"/>
      <w:footerReference w:type="default" r:id="rId10"/>
      <w:pgSz w:w="12240" w:h="15840"/>
      <w:pgMar w:top="1417" w:right="1183" w:bottom="1134" w:left="126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4A" w:rsidRDefault="00AE2E4A">
      <w:r>
        <w:separator/>
      </w:r>
    </w:p>
  </w:endnote>
  <w:endnote w:type="continuationSeparator" w:id="0">
    <w:p w:rsidR="00AE2E4A" w:rsidRDefault="00AE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Condensed">
    <w:altName w:val="Arial"/>
    <w:charset w:val="00"/>
    <w:family w:val="swiss"/>
    <w:pitch w:val="variable"/>
    <w:sig w:usb0="00000001" w:usb1="00000000" w:usb2="00000000" w:usb3="00000000" w:csb0="0000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74"/>
      <w:gridCol w:w="1985"/>
    </w:tblGrid>
    <w:tr w:rsidR="00604605" w:rsidTr="001E5869">
      <w:trPr>
        <w:trHeight w:val="737"/>
      </w:trPr>
      <w:tc>
        <w:tcPr>
          <w:tcW w:w="8374" w:type="dxa"/>
          <w:tcBorders>
            <w:top w:val="nil"/>
            <w:left w:val="nil"/>
            <w:bottom w:val="nil"/>
            <w:right w:val="nil"/>
          </w:tcBorders>
        </w:tcPr>
        <w:p w:rsidR="00604605" w:rsidRPr="00A31818" w:rsidRDefault="00604605" w:rsidP="00CB4E34">
          <w:pPr>
            <w:pStyle w:val="Rodap"/>
            <w:jc w:val="center"/>
            <w:rPr>
              <w:rFonts w:ascii="Univers Condensed" w:hAnsi="Univers Condensed"/>
              <w:color w:val="000000"/>
              <w:sz w:val="22"/>
              <w:szCs w:val="22"/>
            </w:rPr>
          </w:pPr>
          <w:r w:rsidRPr="00A31818">
            <w:rPr>
              <w:rFonts w:ascii="Univers Condensed" w:hAnsi="Univers Condensed"/>
              <w:color w:val="000000"/>
              <w:sz w:val="22"/>
              <w:szCs w:val="22"/>
            </w:rPr>
            <w:t>Rua João Maria Conrado, 425 – Centro – 89.834-000 – Ouro Verde – SC</w:t>
          </w:r>
        </w:p>
        <w:p w:rsidR="00604605" w:rsidRPr="00A31818" w:rsidRDefault="00604605" w:rsidP="00CB4E34">
          <w:pPr>
            <w:pStyle w:val="Rodap"/>
            <w:jc w:val="center"/>
            <w:rPr>
              <w:rFonts w:ascii="Univers Condensed" w:hAnsi="Univers Condensed"/>
              <w:color w:val="000000"/>
              <w:sz w:val="22"/>
              <w:szCs w:val="22"/>
              <w:lang w:val="en-US"/>
            </w:rPr>
          </w:pPr>
          <w:r w:rsidRPr="00A31818">
            <w:rPr>
              <w:rFonts w:ascii="Univers Condensed" w:hAnsi="Univers Condensed"/>
              <w:color w:val="000000"/>
              <w:sz w:val="22"/>
              <w:szCs w:val="22"/>
            </w:rPr>
            <w:t>Fone/Fax: 049 34470007</w:t>
          </w:r>
        </w:p>
        <w:p w:rsidR="00604605" w:rsidRDefault="00604605" w:rsidP="00CB4E34">
          <w:pPr>
            <w:pStyle w:val="Rodap"/>
            <w:jc w:val="center"/>
            <w:rPr>
              <w:color w:val="008080"/>
              <w:sz w:val="12"/>
              <w:lang w:val="en-US"/>
            </w:rPr>
          </w:pPr>
        </w:p>
      </w:tc>
      <w:tc>
        <w:tcPr>
          <w:tcW w:w="1985" w:type="dxa"/>
          <w:tcBorders>
            <w:top w:val="nil"/>
            <w:left w:val="nil"/>
            <w:bottom w:val="nil"/>
            <w:right w:val="nil"/>
          </w:tcBorders>
        </w:tcPr>
        <w:p w:rsidR="00604605" w:rsidRDefault="001E5869" w:rsidP="00CB4E34">
          <w:pPr>
            <w:pStyle w:val="Rodap"/>
            <w:rPr>
              <w:lang w:val="en-US"/>
            </w:rPr>
          </w:pPr>
          <w:r>
            <w:rPr>
              <w:noProof/>
            </w:rPr>
            <w:drawing>
              <wp:inline distT="0" distB="0" distL="0" distR="0">
                <wp:extent cx="771525" cy="5143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14350"/>
                        </a:xfrm>
                        <a:prstGeom prst="rect">
                          <a:avLst/>
                        </a:prstGeom>
                        <a:noFill/>
                        <a:ln>
                          <a:noFill/>
                        </a:ln>
                      </pic:spPr>
                    </pic:pic>
                  </a:graphicData>
                </a:graphic>
              </wp:inline>
            </w:drawing>
          </w:r>
        </w:p>
      </w:tc>
    </w:tr>
  </w:tbl>
  <w:p w:rsidR="00604605" w:rsidRPr="00E90120" w:rsidRDefault="00604605" w:rsidP="00E901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4A" w:rsidRDefault="00AE2E4A">
      <w:r>
        <w:separator/>
      </w:r>
    </w:p>
  </w:footnote>
  <w:footnote w:type="continuationSeparator" w:id="0">
    <w:p w:rsidR="00AE2E4A" w:rsidRDefault="00AE2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0"/>
      <w:gridCol w:w="6928"/>
    </w:tblGrid>
    <w:tr w:rsidR="00604605">
      <w:tc>
        <w:tcPr>
          <w:tcW w:w="2050" w:type="dxa"/>
          <w:tcBorders>
            <w:top w:val="nil"/>
            <w:left w:val="nil"/>
            <w:bottom w:val="nil"/>
            <w:right w:val="nil"/>
          </w:tcBorders>
        </w:tcPr>
        <w:p w:rsidR="00604605" w:rsidRDefault="00604605">
          <w:pPr>
            <w:pStyle w:val="Cabealho"/>
          </w:pPr>
          <w:r>
            <w:object w:dxaOrig="2160" w:dyaOrig="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8.25pt" o:ole="">
                <v:imagedata r:id="rId1" o:title=""/>
              </v:shape>
              <o:OLEObject Type="Embed" ProgID="CorelDraw.Graphic.9" ShapeID="_x0000_i1025" DrawAspect="Content" ObjectID="_1577174701" r:id="rId2"/>
            </w:object>
          </w:r>
        </w:p>
      </w:tc>
      <w:tc>
        <w:tcPr>
          <w:tcW w:w="6928" w:type="dxa"/>
          <w:tcBorders>
            <w:top w:val="nil"/>
            <w:left w:val="nil"/>
            <w:bottom w:val="nil"/>
            <w:right w:val="nil"/>
          </w:tcBorders>
        </w:tcPr>
        <w:p w:rsidR="00604605" w:rsidRDefault="00604605">
          <w:pPr>
            <w:pStyle w:val="Cabealho"/>
            <w:rPr>
              <w:color w:val="0000FF"/>
              <w:sz w:val="16"/>
            </w:rPr>
          </w:pPr>
        </w:p>
        <w:p w:rsidR="00604605" w:rsidRDefault="00604605">
          <w:pPr>
            <w:pStyle w:val="Cabealho"/>
            <w:rPr>
              <w:rFonts w:ascii="Verdana" w:hAnsi="Verdana"/>
              <w:color w:val="000000"/>
              <w:sz w:val="40"/>
            </w:rPr>
          </w:pPr>
          <w:r>
            <w:rPr>
              <w:rFonts w:ascii="Verdana" w:hAnsi="Verdana"/>
              <w:color w:val="000000"/>
              <w:sz w:val="40"/>
            </w:rPr>
            <w:t>ESTADO DE SANTA CATARINA</w:t>
          </w:r>
        </w:p>
        <w:p w:rsidR="00604605" w:rsidRDefault="00604605">
          <w:pPr>
            <w:pStyle w:val="Cabealho"/>
            <w:jc w:val="center"/>
            <w:rPr>
              <w:rFonts w:ascii="Verdana" w:hAnsi="Verdana"/>
              <w:b/>
              <w:bCs/>
              <w:color w:val="000000"/>
              <w:sz w:val="12"/>
            </w:rPr>
          </w:pPr>
        </w:p>
        <w:p w:rsidR="00604605" w:rsidRDefault="00604605">
          <w:pPr>
            <w:pStyle w:val="Cabealho"/>
            <w:rPr>
              <w:rFonts w:ascii="Verdana" w:hAnsi="Verdana"/>
              <w:b/>
              <w:bCs/>
              <w:color w:val="000000"/>
              <w:sz w:val="28"/>
            </w:rPr>
          </w:pPr>
          <w:r>
            <w:rPr>
              <w:rFonts w:ascii="Verdana" w:hAnsi="Verdana"/>
              <w:b/>
              <w:bCs/>
              <w:color w:val="000000"/>
              <w:sz w:val="28"/>
            </w:rPr>
            <w:t>MUNICÍPIO DE OURO VERDE</w:t>
          </w:r>
        </w:p>
        <w:p w:rsidR="00604605" w:rsidRDefault="00604605">
          <w:pPr>
            <w:pStyle w:val="Cabealho"/>
            <w:jc w:val="center"/>
            <w:rPr>
              <w:rFonts w:ascii="Verdana" w:hAnsi="Verdana"/>
              <w:b/>
              <w:bCs/>
              <w:color w:val="000000"/>
              <w:sz w:val="12"/>
            </w:rPr>
          </w:pPr>
        </w:p>
        <w:p w:rsidR="00604605" w:rsidRDefault="00604605">
          <w:pPr>
            <w:pStyle w:val="Cabealho"/>
            <w:rPr>
              <w:color w:val="0000FF"/>
              <w:sz w:val="32"/>
            </w:rPr>
          </w:pPr>
          <w:r>
            <w:rPr>
              <w:rFonts w:ascii="Verdana" w:hAnsi="Verdana"/>
              <w:color w:val="000000"/>
              <w:sz w:val="32"/>
            </w:rPr>
            <w:t>CNPJ: 80.913.031/0001-72</w:t>
          </w:r>
        </w:p>
      </w:tc>
    </w:tr>
  </w:tbl>
  <w:p w:rsidR="00604605" w:rsidRDefault="0060460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2851"/>
    <w:multiLevelType w:val="hybridMultilevel"/>
    <w:tmpl w:val="DEF6013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47"/>
    <w:rsid w:val="00004A99"/>
    <w:rsid w:val="00011CB2"/>
    <w:rsid w:val="00015902"/>
    <w:rsid w:val="000272BB"/>
    <w:rsid w:val="000302C4"/>
    <w:rsid w:val="00030AE2"/>
    <w:rsid w:val="000330E3"/>
    <w:rsid w:val="00033E4C"/>
    <w:rsid w:val="00036D08"/>
    <w:rsid w:val="0004735B"/>
    <w:rsid w:val="00050826"/>
    <w:rsid w:val="0005526C"/>
    <w:rsid w:val="00056DCF"/>
    <w:rsid w:val="000755B7"/>
    <w:rsid w:val="00083D91"/>
    <w:rsid w:val="00084F87"/>
    <w:rsid w:val="000855B5"/>
    <w:rsid w:val="0009049C"/>
    <w:rsid w:val="00096692"/>
    <w:rsid w:val="000A22C4"/>
    <w:rsid w:val="000A2507"/>
    <w:rsid w:val="000A28F8"/>
    <w:rsid w:val="000B2632"/>
    <w:rsid w:val="000B2A38"/>
    <w:rsid w:val="000D6882"/>
    <w:rsid w:val="000D7A35"/>
    <w:rsid w:val="000E1C19"/>
    <w:rsid w:val="000E2C28"/>
    <w:rsid w:val="00103F7E"/>
    <w:rsid w:val="0012057E"/>
    <w:rsid w:val="00120A41"/>
    <w:rsid w:val="00133420"/>
    <w:rsid w:val="00142357"/>
    <w:rsid w:val="00152625"/>
    <w:rsid w:val="001530E2"/>
    <w:rsid w:val="001577FC"/>
    <w:rsid w:val="001760BE"/>
    <w:rsid w:val="001841CF"/>
    <w:rsid w:val="0018529A"/>
    <w:rsid w:val="00187653"/>
    <w:rsid w:val="001950EF"/>
    <w:rsid w:val="001B0553"/>
    <w:rsid w:val="001B1BD1"/>
    <w:rsid w:val="001B206E"/>
    <w:rsid w:val="001B34AE"/>
    <w:rsid w:val="001B39D7"/>
    <w:rsid w:val="001C0BED"/>
    <w:rsid w:val="001D2E57"/>
    <w:rsid w:val="001D312D"/>
    <w:rsid w:val="001D798C"/>
    <w:rsid w:val="001E53DD"/>
    <w:rsid w:val="001E5869"/>
    <w:rsid w:val="001E7C01"/>
    <w:rsid w:val="001F1511"/>
    <w:rsid w:val="001F3AA5"/>
    <w:rsid w:val="00201484"/>
    <w:rsid w:val="002048FF"/>
    <w:rsid w:val="00204AA8"/>
    <w:rsid w:val="0021629D"/>
    <w:rsid w:val="00220A66"/>
    <w:rsid w:val="002240D2"/>
    <w:rsid w:val="002321AA"/>
    <w:rsid w:val="00236233"/>
    <w:rsid w:val="002372E5"/>
    <w:rsid w:val="00242892"/>
    <w:rsid w:val="002516E3"/>
    <w:rsid w:val="002655A5"/>
    <w:rsid w:val="0027123E"/>
    <w:rsid w:val="0027189E"/>
    <w:rsid w:val="00272499"/>
    <w:rsid w:val="00274C96"/>
    <w:rsid w:val="00274F0E"/>
    <w:rsid w:val="00286A97"/>
    <w:rsid w:val="00290F54"/>
    <w:rsid w:val="00292022"/>
    <w:rsid w:val="0029352D"/>
    <w:rsid w:val="00294B16"/>
    <w:rsid w:val="002A252C"/>
    <w:rsid w:val="002D187F"/>
    <w:rsid w:val="002D56A0"/>
    <w:rsid w:val="002D7F0B"/>
    <w:rsid w:val="002E77AB"/>
    <w:rsid w:val="002E7AD6"/>
    <w:rsid w:val="002E7E56"/>
    <w:rsid w:val="002F05E7"/>
    <w:rsid w:val="002F08B3"/>
    <w:rsid w:val="003022BB"/>
    <w:rsid w:val="00303F68"/>
    <w:rsid w:val="00307134"/>
    <w:rsid w:val="00314069"/>
    <w:rsid w:val="00314FB9"/>
    <w:rsid w:val="00322835"/>
    <w:rsid w:val="0032493C"/>
    <w:rsid w:val="00326936"/>
    <w:rsid w:val="00326EB2"/>
    <w:rsid w:val="00330D3E"/>
    <w:rsid w:val="00335431"/>
    <w:rsid w:val="00336273"/>
    <w:rsid w:val="003365E3"/>
    <w:rsid w:val="00341C89"/>
    <w:rsid w:val="00356767"/>
    <w:rsid w:val="00363437"/>
    <w:rsid w:val="0037669B"/>
    <w:rsid w:val="0038666A"/>
    <w:rsid w:val="00386747"/>
    <w:rsid w:val="0039168C"/>
    <w:rsid w:val="0039619C"/>
    <w:rsid w:val="003A3AF2"/>
    <w:rsid w:val="003A6281"/>
    <w:rsid w:val="003A741F"/>
    <w:rsid w:val="003C32F3"/>
    <w:rsid w:val="003C4DA1"/>
    <w:rsid w:val="003D0C56"/>
    <w:rsid w:val="003D23A5"/>
    <w:rsid w:val="003E51D7"/>
    <w:rsid w:val="003E54D1"/>
    <w:rsid w:val="00401782"/>
    <w:rsid w:val="0041493D"/>
    <w:rsid w:val="00417F6B"/>
    <w:rsid w:val="00420441"/>
    <w:rsid w:val="00424C1F"/>
    <w:rsid w:val="00430EB4"/>
    <w:rsid w:val="00431CE3"/>
    <w:rsid w:val="00433043"/>
    <w:rsid w:val="004522A2"/>
    <w:rsid w:val="00453BEF"/>
    <w:rsid w:val="00461F66"/>
    <w:rsid w:val="00465022"/>
    <w:rsid w:val="00472800"/>
    <w:rsid w:val="004736FC"/>
    <w:rsid w:val="00481253"/>
    <w:rsid w:val="00481397"/>
    <w:rsid w:val="004859C4"/>
    <w:rsid w:val="0049249C"/>
    <w:rsid w:val="00492C1B"/>
    <w:rsid w:val="004A2218"/>
    <w:rsid w:val="004B1767"/>
    <w:rsid w:val="004B46B2"/>
    <w:rsid w:val="004B48EC"/>
    <w:rsid w:val="004C1412"/>
    <w:rsid w:val="004C5B69"/>
    <w:rsid w:val="004D119D"/>
    <w:rsid w:val="004D3B66"/>
    <w:rsid w:val="004E2730"/>
    <w:rsid w:val="004E57B5"/>
    <w:rsid w:val="004F54E7"/>
    <w:rsid w:val="004F72DE"/>
    <w:rsid w:val="0050232B"/>
    <w:rsid w:val="00511FD7"/>
    <w:rsid w:val="00526A4B"/>
    <w:rsid w:val="00547E33"/>
    <w:rsid w:val="0055007A"/>
    <w:rsid w:val="005506E9"/>
    <w:rsid w:val="00555289"/>
    <w:rsid w:val="00557DBC"/>
    <w:rsid w:val="00557FF1"/>
    <w:rsid w:val="00563BE0"/>
    <w:rsid w:val="00573511"/>
    <w:rsid w:val="00581162"/>
    <w:rsid w:val="00581CB9"/>
    <w:rsid w:val="00582FA3"/>
    <w:rsid w:val="00585207"/>
    <w:rsid w:val="00586C0A"/>
    <w:rsid w:val="00590A5F"/>
    <w:rsid w:val="005923A3"/>
    <w:rsid w:val="005A5940"/>
    <w:rsid w:val="005B0EDA"/>
    <w:rsid w:val="005E4260"/>
    <w:rsid w:val="005E615D"/>
    <w:rsid w:val="005F0E0D"/>
    <w:rsid w:val="005F3BCD"/>
    <w:rsid w:val="005F5FB8"/>
    <w:rsid w:val="00601CC5"/>
    <w:rsid w:val="00601EDA"/>
    <w:rsid w:val="00604605"/>
    <w:rsid w:val="006062FC"/>
    <w:rsid w:val="00606A78"/>
    <w:rsid w:val="0061169E"/>
    <w:rsid w:val="00614553"/>
    <w:rsid w:val="00621459"/>
    <w:rsid w:val="006215A5"/>
    <w:rsid w:val="00623B59"/>
    <w:rsid w:val="0063014F"/>
    <w:rsid w:val="006305B6"/>
    <w:rsid w:val="00633AB4"/>
    <w:rsid w:val="0063591D"/>
    <w:rsid w:val="00646337"/>
    <w:rsid w:val="00654261"/>
    <w:rsid w:val="0065470B"/>
    <w:rsid w:val="00660A85"/>
    <w:rsid w:val="0066128E"/>
    <w:rsid w:val="00661A05"/>
    <w:rsid w:val="00670A60"/>
    <w:rsid w:val="00672DD2"/>
    <w:rsid w:val="00674043"/>
    <w:rsid w:val="00681BC7"/>
    <w:rsid w:val="00683BCE"/>
    <w:rsid w:val="006843DB"/>
    <w:rsid w:val="00684C1A"/>
    <w:rsid w:val="0069196F"/>
    <w:rsid w:val="00693317"/>
    <w:rsid w:val="006A4942"/>
    <w:rsid w:val="006A79EB"/>
    <w:rsid w:val="006B32CF"/>
    <w:rsid w:val="006B6C33"/>
    <w:rsid w:val="006C100B"/>
    <w:rsid w:val="006D78C0"/>
    <w:rsid w:val="006E3B7E"/>
    <w:rsid w:val="006E6429"/>
    <w:rsid w:val="006F5B6A"/>
    <w:rsid w:val="00701B00"/>
    <w:rsid w:val="00702CAE"/>
    <w:rsid w:val="00702E76"/>
    <w:rsid w:val="00711E93"/>
    <w:rsid w:val="007138B1"/>
    <w:rsid w:val="00722CFE"/>
    <w:rsid w:val="00725FDA"/>
    <w:rsid w:val="00731F09"/>
    <w:rsid w:val="007354CE"/>
    <w:rsid w:val="007373B2"/>
    <w:rsid w:val="007400F3"/>
    <w:rsid w:val="00740E6D"/>
    <w:rsid w:val="00741A70"/>
    <w:rsid w:val="00741ED4"/>
    <w:rsid w:val="00742DDA"/>
    <w:rsid w:val="00743385"/>
    <w:rsid w:val="007453EE"/>
    <w:rsid w:val="00750405"/>
    <w:rsid w:val="00752213"/>
    <w:rsid w:val="00755AA3"/>
    <w:rsid w:val="0076205A"/>
    <w:rsid w:val="007675BC"/>
    <w:rsid w:val="007724CD"/>
    <w:rsid w:val="00777819"/>
    <w:rsid w:val="00782452"/>
    <w:rsid w:val="00797475"/>
    <w:rsid w:val="007A1BDD"/>
    <w:rsid w:val="007A1C06"/>
    <w:rsid w:val="007A2459"/>
    <w:rsid w:val="007A26BB"/>
    <w:rsid w:val="007B1F8E"/>
    <w:rsid w:val="007B4CCC"/>
    <w:rsid w:val="007B6338"/>
    <w:rsid w:val="007B6C45"/>
    <w:rsid w:val="007C3CDE"/>
    <w:rsid w:val="007C4906"/>
    <w:rsid w:val="007C4EE0"/>
    <w:rsid w:val="007C67E3"/>
    <w:rsid w:val="007D1F76"/>
    <w:rsid w:val="007D6F78"/>
    <w:rsid w:val="007E12B5"/>
    <w:rsid w:val="007E144D"/>
    <w:rsid w:val="007E3757"/>
    <w:rsid w:val="007E4095"/>
    <w:rsid w:val="007E57D2"/>
    <w:rsid w:val="007E5D6D"/>
    <w:rsid w:val="007F0DD2"/>
    <w:rsid w:val="007F69C3"/>
    <w:rsid w:val="00812566"/>
    <w:rsid w:val="00814F52"/>
    <w:rsid w:val="00823F4A"/>
    <w:rsid w:val="0082545A"/>
    <w:rsid w:val="008307EF"/>
    <w:rsid w:val="0083176D"/>
    <w:rsid w:val="0083526A"/>
    <w:rsid w:val="008354C3"/>
    <w:rsid w:val="0084337F"/>
    <w:rsid w:val="008464C5"/>
    <w:rsid w:val="00860EB3"/>
    <w:rsid w:val="00862B91"/>
    <w:rsid w:val="00864127"/>
    <w:rsid w:val="00867245"/>
    <w:rsid w:val="0086741D"/>
    <w:rsid w:val="00875349"/>
    <w:rsid w:val="00877746"/>
    <w:rsid w:val="00884C74"/>
    <w:rsid w:val="00890061"/>
    <w:rsid w:val="008911D0"/>
    <w:rsid w:val="008A0917"/>
    <w:rsid w:val="008A607F"/>
    <w:rsid w:val="008A779B"/>
    <w:rsid w:val="008B1C5B"/>
    <w:rsid w:val="008B50FC"/>
    <w:rsid w:val="008B65DD"/>
    <w:rsid w:val="008C672B"/>
    <w:rsid w:val="008E0104"/>
    <w:rsid w:val="008E11DF"/>
    <w:rsid w:val="008F246F"/>
    <w:rsid w:val="008F3D53"/>
    <w:rsid w:val="008F55EE"/>
    <w:rsid w:val="008F7E2A"/>
    <w:rsid w:val="009026AC"/>
    <w:rsid w:val="0090331B"/>
    <w:rsid w:val="00904955"/>
    <w:rsid w:val="009061A5"/>
    <w:rsid w:val="00906FA1"/>
    <w:rsid w:val="009251DC"/>
    <w:rsid w:val="009272E1"/>
    <w:rsid w:val="00936418"/>
    <w:rsid w:val="00936AB3"/>
    <w:rsid w:val="00943B4C"/>
    <w:rsid w:val="00956177"/>
    <w:rsid w:val="0095636B"/>
    <w:rsid w:val="00962D26"/>
    <w:rsid w:val="009701F9"/>
    <w:rsid w:val="009745CB"/>
    <w:rsid w:val="0097570D"/>
    <w:rsid w:val="00980F1C"/>
    <w:rsid w:val="009814CC"/>
    <w:rsid w:val="00984E3F"/>
    <w:rsid w:val="0099176B"/>
    <w:rsid w:val="00994C8E"/>
    <w:rsid w:val="00996014"/>
    <w:rsid w:val="009A07DA"/>
    <w:rsid w:val="009A0F5E"/>
    <w:rsid w:val="009A2856"/>
    <w:rsid w:val="009A2AEC"/>
    <w:rsid w:val="009A3CD1"/>
    <w:rsid w:val="009B09DC"/>
    <w:rsid w:val="009C0AE0"/>
    <w:rsid w:val="009C1BA9"/>
    <w:rsid w:val="009C3A9E"/>
    <w:rsid w:val="009D4027"/>
    <w:rsid w:val="009D53E6"/>
    <w:rsid w:val="009F62E9"/>
    <w:rsid w:val="00A03D7F"/>
    <w:rsid w:val="00A06FB9"/>
    <w:rsid w:val="00A34BF9"/>
    <w:rsid w:val="00A40A53"/>
    <w:rsid w:val="00A461DC"/>
    <w:rsid w:val="00A468F2"/>
    <w:rsid w:val="00A5536C"/>
    <w:rsid w:val="00A63B32"/>
    <w:rsid w:val="00A64677"/>
    <w:rsid w:val="00A677E9"/>
    <w:rsid w:val="00A70611"/>
    <w:rsid w:val="00A738C8"/>
    <w:rsid w:val="00A80A31"/>
    <w:rsid w:val="00A878C3"/>
    <w:rsid w:val="00A936BD"/>
    <w:rsid w:val="00A96571"/>
    <w:rsid w:val="00A96C8D"/>
    <w:rsid w:val="00A9713F"/>
    <w:rsid w:val="00AA096E"/>
    <w:rsid w:val="00AC4B46"/>
    <w:rsid w:val="00AC65A8"/>
    <w:rsid w:val="00AD4C96"/>
    <w:rsid w:val="00AD6753"/>
    <w:rsid w:val="00AD7688"/>
    <w:rsid w:val="00AE2E4A"/>
    <w:rsid w:val="00AF1939"/>
    <w:rsid w:val="00AF415D"/>
    <w:rsid w:val="00AF4AFF"/>
    <w:rsid w:val="00B03B90"/>
    <w:rsid w:val="00B053C3"/>
    <w:rsid w:val="00B06A3D"/>
    <w:rsid w:val="00B11C69"/>
    <w:rsid w:val="00B13915"/>
    <w:rsid w:val="00B15D12"/>
    <w:rsid w:val="00B16CDC"/>
    <w:rsid w:val="00B308D4"/>
    <w:rsid w:val="00B363CE"/>
    <w:rsid w:val="00B370BE"/>
    <w:rsid w:val="00B40C71"/>
    <w:rsid w:val="00B40E6A"/>
    <w:rsid w:val="00B44E9C"/>
    <w:rsid w:val="00B61E8A"/>
    <w:rsid w:val="00B63D16"/>
    <w:rsid w:val="00B646A1"/>
    <w:rsid w:val="00B67B05"/>
    <w:rsid w:val="00B724B6"/>
    <w:rsid w:val="00B76F9F"/>
    <w:rsid w:val="00BA0FDD"/>
    <w:rsid w:val="00BA1DCE"/>
    <w:rsid w:val="00BA3CD0"/>
    <w:rsid w:val="00BA6BAC"/>
    <w:rsid w:val="00BB1C5B"/>
    <w:rsid w:val="00BB263F"/>
    <w:rsid w:val="00BD4F5E"/>
    <w:rsid w:val="00BD528E"/>
    <w:rsid w:val="00BE08DB"/>
    <w:rsid w:val="00BE53F6"/>
    <w:rsid w:val="00BF5E56"/>
    <w:rsid w:val="00C14DCA"/>
    <w:rsid w:val="00C2205E"/>
    <w:rsid w:val="00C23C6F"/>
    <w:rsid w:val="00C316B8"/>
    <w:rsid w:val="00C35EC3"/>
    <w:rsid w:val="00C36B33"/>
    <w:rsid w:val="00C471CB"/>
    <w:rsid w:val="00C52EBE"/>
    <w:rsid w:val="00C6419F"/>
    <w:rsid w:val="00C66483"/>
    <w:rsid w:val="00C803E6"/>
    <w:rsid w:val="00C80B19"/>
    <w:rsid w:val="00C82A58"/>
    <w:rsid w:val="00C92708"/>
    <w:rsid w:val="00C9619F"/>
    <w:rsid w:val="00CA72C9"/>
    <w:rsid w:val="00CB2AF0"/>
    <w:rsid w:val="00CB353E"/>
    <w:rsid w:val="00CB4E34"/>
    <w:rsid w:val="00CC5CE0"/>
    <w:rsid w:val="00CF42BF"/>
    <w:rsid w:val="00CF76E0"/>
    <w:rsid w:val="00D05B53"/>
    <w:rsid w:val="00D10116"/>
    <w:rsid w:val="00D106FB"/>
    <w:rsid w:val="00D16C1F"/>
    <w:rsid w:val="00D41593"/>
    <w:rsid w:val="00D4345B"/>
    <w:rsid w:val="00D467C8"/>
    <w:rsid w:val="00D5094E"/>
    <w:rsid w:val="00D51BC5"/>
    <w:rsid w:val="00D5621A"/>
    <w:rsid w:val="00D61B79"/>
    <w:rsid w:val="00D64EAF"/>
    <w:rsid w:val="00D65279"/>
    <w:rsid w:val="00D81C2B"/>
    <w:rsid w:val="00D85B1B"/>
    <w:rsid w:val="00D9487F"/>
    <w:rsid w:val="00DA21CC"/>
    <w:rsid w:val="00DA3C4F"/>
    <w:rsid w:val="00DA7DE4"/>
    <w:rsid w:val="00DB1737"/>
    <w:rsid w:val="00DC1512"/>
    <w:rsid w:val="00DC5456"/>
    <w:rsid w:val="00DC6B65"/>
    <w:rsid w:val="00DC6C28"/>
    <w:rsid w:val="00DC7E28"/>
    <w:rsid w:val="00DD1E6E"/>
    <w:rsid w:val="00DD233C"/>
    <w:rsid w:val="00DD561D"/>
    <w:rsid w:val="00DE3D94"/>
    <w:rsid w:val="00DE4FA3"/>
    <w:rsid w:val="00DE687A"/>
    <w:rsid w:val="00DF0422"/>
    <w:rsid w:val="00DF2B5A"/>
    <w:rsid w:val="00DF6937"/>
    <w:rsid w:val="00DF6D46"/>
    <w:rsid w:val="00E06E40"/>
    <w:rsid w:val="00E16D2D"/>
    <w:rsid w:val="00E3046C"/>
    <w:rsid w:val="00E31351"/>
    <w:rsid w:val="00E33328"/>
    <w:rsid w:val="00E42F82"/>
    <w:rsid w:val="00E51199"/>
    <w:rsid w:val="00E511BF"/>
    <w:rsid w:val="00E53070"/>
    <w:rsid w:val="00E54775"/>
    <w:rsid w:val="00E60949"/>
    <w:rsid w:val="00E679E9"/>
    <w:rsid w:val="00E73626"/>
    <w:rsid w:val="00E83B90"/>
    <w:rsid w:val="00E90120"/>
    <w:rsid w:val="00E947F1"/>
    <w:rsid w:val="00E96DEC"/>
    <w:rsid w:val="00E97578"/>
    <w:rsid w:val="00EB496F"/>
    <w:rsid w:val="00EB7051"/>
    <w:rsid w:val="00EC23A6"/>
    <w:rsid w:val="00EC2899"/>
    <w:rsid w:val="00EC3302"/>
    <w:rsid w:val="00ED236B"/>
    <w:rsid w:val="00ED5F17"/>
    <w:rsid w:val="00EE1DEA"/>
    <w:rsid w:val="00EE20F7"/>
    <w:rsid w:val="00EE3A48"/>
    <w:rsid w:val="00EE53C1"/>
    <w:rsid w:val="00EF26F1"/>
    <w:rsid w:val="00EF2847"/>
    <w:rsid w:val="00EF393A"/>
    <w:rsid w:val="00EF39AD"/>
    <w:rsid w:val="00EF4778"/>
    <w:rsid w:val="00EF5747"/>
    <w:rsid w:val="00EF7C98"/>
    <w:rsid w:val="00F01DFE"/>
    <w:rsid w:val="00F045A9"/>
    <w:rsid w:val="00F07A69"/>
    <w:rsid w:val="00F241C0"/>
    <w:rsid w:val="00F303C4"/>
    <w:rsid w:val="00F311CB"/>
    <w:rsid w:val="00F37824"/>
    <w:rsid w:val="00F40D8F"/>
    <w:rsid w:val="00F47B93"/>
    <w:rsid w:val="00F51D9B"/>
    <w:rsid w:val="00F53E71"/>
    <w:rsid w:val="00F856AE"/>
    <w:rsid w:val="00F8576A"/>
    <w:rsid w:val="00F9473A"/>
    <w:rsid w:val="00FA3519"/>
    <w:rsid w:val="00FB0474"/>
    <w:rsid w:val="00FB6B77"/>
    <w:rsid w:val="00FC3495"/>
    <w:rsid w:val="00FC671A"/>
    <w:rsid w:val="00FC71D3"/>
    <w:rsid w:val="00FD3B1F"/>
    <w:rsid w:val="00FE026B"/>
    <w:rsid w:val="00FE2EC4"/>
    <w:rsid w:val="00FE59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lang w:val="x-none" w:eastAsia="x-none"/>
    </w:rPr>
  </w:style>
  <w:style w:type="paragraph" w:styleId="Ttulo2">
    <w:name w:val="heading 2"/>
    <w:basedOn w:val="Normal"/>
    <w:next w:val="Normal"/>
    <w:link w:val="Ttulo2Char"/>
    <w:semiHidden/>
    <w:unhideWhenUsed/>
    <w:qFormat/>
    <w:rsid w:val="000B2632"/>
    <w:pPr>
      <w:keepNext/>
      <w:spacing w:before="240" w:after="60"/>
      <w:outlineLvl w:val="1"/>
    </w:pPr>
    <w:rPr>
      <w:rFonts w:asciiTheme="majorHAnsi" w:eastAsiaTheme="majorEastAsia" w:hAnsiTheme="majorHAnsi" w:cstheme="majorBidi"/>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character" w:customStyle="1" w:styleId="Ttulo1Char">
    <w:name w:val="Título 1 Char"/>
    <w:link w:val="Ttulo1"/>
    <w:rsid w:val="00C80B19"/>
    <w:rPr>
      <w:b/>
      <w:bCs/>
      <w:sz w:val="24"/>
      <w:szCs w:val="24"/>
    </w:rPr>
  </w:style>
  <w:style w:type="paragraph" w:styleId="Recuodecorpodetexto3">
    <w:name w:val="Body Text Indent 3"/>
    <w:basedOn w:val="Normal"/>
    <w:link w:val="Recuodecorpodetexto3Char"/>
    <w:unhideWhenUsed/>
    <w:rsid w:val="009061A5"/>
    <w:pPr>
      <w:ind w:left="1413" w:firstLine="12"/>
      <w:jc w:val="both"/>
    </w:pPr>
    <w:rPr>
      <w:b/>
      <w:szCs w:val="20"/>
      <w:lang w:val="x-none" w:eastAsia="x-none"/>
    </w:rPr>
  </w:style>
  <w:style w:type="character" w:customStyle="1" w:styleId="Recuodecorpodetexto3Char">
    <w:name w:val="Recuo de corpo de texto 3 Char"/>
    <w:link w:val="Recuodecorpodetexto3"/>
    <w:rsid w:val="009061A5"/>
    <w:rPr>
      <w:b/>
      <w:sz w:val="24"/>
    </w:rPr>
  </w:style>
  <w:style w:type="paragraph" w:styleId="Textodebalo">
    <w:name w:val="Balloon Text"/>
    <w:basedOn w:val="Normal"/>
    <w:link w:val="TextodebaloChar"/>
    <w:rsid w:val="00F53E71"/>
    <w:rPr>
      <w:rFonts w:ascii="Segoe UI" w:hAnsi="Segoe UI" w:cs="Segoe UI"/>
      <w:sz w:val="18"/>
      <w:szCs w:val="18"/>
    </w:rPr>
  </w:style>
  <w:style w:type="character" w:customStyle="1" w:styleId="TextodebaloChar">
    <w:name w:val="Texto de balão Char"/>
    <w:link w:val="Textodebalo"/>
    <w:rsid w:val="00F53E71"/>
    <w:rPr>
      <w:rFonts w:ascii="Segoe UI" w:hAnsi="Segoe UI" w:cs="Segoe UI"/>
      <w:sz w:val="18"/>
      <w:szCs w:val="18"/>
    </w:rPr>
  </w:style>
  <w:style w:type="paragraph" w:styleId="Recuodecorpodetexto2">
    <w:name w:val="Body Text Indent 2"/>
    <w:basedOn w:val="Normal"/>
    <w:link w:val="Recuodecorpodetexto2Char"/>
    <w:rsid w:val="003E51D7"/>
    <w:pPr>
      <w:spacing w:after="120" w:line="480" w:lineRule="auto"/>
      <w:ind w:left="283"/>
    </w:pPr>
  </w:style>
  <w:style w:type="character" w:customStyle="1" w:styleId="Recuodecorpodetexto2Char">
    <w:name w:val="Recuo de corpo de texto 2 Char"/>
    <w:link w:val="Recuodecorpodetexto2"/>
    <w:rsid w:val="003E51D7"/>
    <w:rPr>
      <w:sz w:val="24"/>
      <w:szCs w:val="24"/>
    </w:rPr>
  </w:style>
  <w:style w:type="character" w:customStyle="1" w:styleId="Ttulo2Char">
    <w:name w:val="Título 2 Char"/>
    <w:basedOn w:val="Fontepargpadro"/>
    <w:link w:val="Ttulo2"/>
    <w:semiHidden/>
    <w:rsid w:val="000B2632"/>
    <w:rPr>
      <w:rFonts w:asciiTheme="majorHAnsi" w:eastAsiaTheme="majorEastAsia" w:hAnsiTheme="majorHAnsi" w:cstheme="majorBidi"/>
      <w:b/>
      <w:bCs/>
      <w:i/>
      <w:iCs/>
      <w:sz w:val="28"/>
      <w:szCs w:val="28"/>
    </w:rPr>
  </w:style>
  <w:style w:type="paragraph" w:styleId="Recuodecorpodetexto">
    <w:name w:val="Body Text Indent"/>
    <w:basedOn w:val="Normal"/>
    <w:link w:val="RecuodecorpodetextoChar"/>
    <w:rsid w:val="000B2632"/>
    <w:pPr>
      <w:spacing w:after="120"/>
      <w:ind w:left="283"/>
    </w:pPr>
  </w:style>
  <w:style w:type="character" w:customStyle="1" w:styleId="RecuodecorpodetextoChar">
    <w:name w:val="Recuo de corpo de texto Char"/>
    <w:basedOn w:val="Fontepargpadro"/>
    <w:link w:val="Recuodecorpodetexto"/>
    <w:rsid w:val="000B26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b/>
      <w:bCs/>
      <w:lang w:val="x-none" w:eastAsia="x-none"/>
    </w:rPr>
  </w:style>
  <w:style w:type="paragraph" w:styleId="Ttulo2">
    <w:name w:val="heading 2"/>
    <w:basedOn w:val="Normal"/>
    <w:next w:val="Normal"/>
    <w:link w:val="Ttulo2Char"/>
    <w:semiHidden/>
    <w:unhideWhenUsed/>
    <w:qFormat/>
    <w:rsid w:val="000B2632"/>
    <w:pPr>
      <w:keepNext/>
      <w:spacing w:before="240" w:after="60"/>
      <w:outlineLvl w:val="1"/>
    </w:pPr>
    <w:rPr>
      <w:rFonts w:asciiTheme="majorHAnsi" w:eastAsiaTheme="majorEastAsia" w:hAnsiTheme="majorHAnsi" w:cstheme="majorBidi"/>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character" w:customStyle="1" w:styleId="Ttulo1Char">
    <w:name w:val="Título 1 Char"/>
    <w:link w:val="Ttulo1"/>
    <w:rsid w:val="00C80B19"/>
    <w:rPr>
      <w:b/>
      <w:bCs/>
      <w:sz w:val="24"/>
      <w:szCs w:val="24"/>
    </w:rPr>
  </w:style>
  <w:style w:type="paragraph" w:styleId="Recuodecorpodetexto3">
    <w:name w:val="Body Text Indent 3"/>
    <w:basedOn w:val="Normal"/>
    <w:link w:val="Recuodecorpodetexto3Char"/>
    <w:unhideWhenUsed/>
    <w:rsid w:val="009061A5"/>
    <w:pPr>
      <w:ind w:left="1413" w:firstLine="12"/>
      <w:jc w:val="both"/>
    </w:pPr>
    <w:rPr>
      <w:b/>
      <w:szCs w:val="20"/>
      <w:lang w:val="x-none" w:eastAsia="x-none"/>
    </w:rPr>
  </w:style>
  <w:style w:type="character" w:customStyle="1" w:styleId="Recuodecorpodetexto3Char">
    <w:name w:val="Recuo de corpo de texto 3 Char"/>
    <w:link w:val="Recuodecorpodetexto3"/>
    <w:rsid w:val="009061A5"/>
    <w:rPr>
      <w:b/>
      <w:sz w:val="24"/>
    </w:rPr>
  </w:style>
  <w:style w:type="paragraph" w:styleId="Textodebalo">
    <w:name w:val="Balloon Text"/>
    <w:basedOn w:val="Normal"/>
    <w:link w:val="TextodebaloChar"/>
    <w:rsid w:val="00F53E71"/>
    <w:rPr>
      <w:rFonts w:ascii="Segoe UI" w:hAnsi="Segoe UI" w:cs="Segoe UI"/>
      <w:sz w:val="18"/>
      <w:szCs w:val="18"/>
    </w:rPr>
  </w:style>
  <w:style w:type="character" w:customStyle="1" w:styleId="TextodebaloChar">
    <w:name w:val="Texto de balão Char"/>
    <w:link w:val="Textodebalo"/>
    <w:rsid w:val="00F53E71"/>
    <w:rPr>
      <w:rFonts w:ascii="Segoe UI" w:hAnsi="Segoe UI" w:cs="Segoe UI"/>
      <w:sz w:val="18"/>
      <w:szCs w:val="18"/>
    </w:rPr>
  </w:style>
  <w:style w:type="paragraph" w:styleId="Recuodecorpodetexto2">
    <w:name w:val="Body Text Indent 2"/>
    <w:basedOn w:val="Normal"/>
    <w:link w:val="Recuodecorpodetexto2Char"/>
    <w:rsid w:val="003E51D7"/>
    <w:pPr>
      <w:spacing w:after="120" w:line="480" w:lineRule="auto"/>
      <w:ind w:left="283"/>
    </w:pPr>
  </w:style>
  <w:style w:type="character" w:customStyle="1" w:styleId="Recuodecorpodetexto2Char">
    <w:name w:val="Recuo de corpo de texto 2 Char"/>
    <w:link w:val="Recuodecorpodetexto2"/>
    <w:rsid w:val="003E51D7"/>
    <w:rPr>
      <w:sz w:val="24"/>
      <w:szCs w:val="24"/>
    </w:rPr>
  </w:style>
  <w:style w:type="character" w:customStyle="1" w:styleId="Ttulo2Char">
    <w:name w:val="Título 2 Char"/>
    <w:basedOn w:val="Fontepargpadro"/>
    <w:link w:val="Ttulo2"/>
    <w:semiHidden/>
    <w:rsid w:val="000B2632"/>
    <w:rPr>
      <w:rFonts w:asciiTheme="majorHAnsi" w:eastAsiaTheme="majorEastAsia" w:hAnsiTheme="majorHAnsi" w:cstheme="majorBidi"/>
      <w:b/>
      <w:bCs/>
      <w:i/>
      <w:iCs/>
      <w:sz w:val="28"/>
      <w:szCs w:val="28"/>
    </w:rPr>
  </w:style>
  <w:style w:type="paragraph" w:styleId="Recuodecorpodetexto">
    <w:name w:val="Body Text Indent"/>
    <w:basedOn w:val="Normal"/>
    <w:link w:val="RecuodecorpodetextoChar"/>
    <w:rsid w:val="000B2632"/>
    <w:pPr>
      <w:spacing w:after="120"/>
      <w:ind w:left="283"/>
    </w:pPr>
  </w:style>
  <w:style w:type="character" w:customStyle="1" w:styleId="RecuodecorpodetextoChar">
    <w:name w:val="Recuo de corpo de texto Char"/>
    <w:basedOn w:val="Fontepargpadro"/>
    <w:link w:val="Recuodecorpodetexto"/>
    <w:rsid w:val="000B26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ROJETO%20DE%20LEI%20N&#186;%20037%20-%202017%20LOA%202018.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D4F-550E-48F7-B13C-D0B55737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 DE LEI Nº 037 - 2017 LOA 2018.dotx</Template>
  <TotalTime>5</TotalTime>
  <Pages>4</Pages>
  <Words>1135</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MEMBROS PARA A PRÓXIMA DIRETORIA DA ASMOV</vt:lpstr>
    </vt:vector>
  </TitlesOfParts>
  <Company>Prefeitura Ouro Verde</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MEMBROS PARA A PRÓXIMA DIRETORIA DA ASMOV</dc:title>
  <dc:creator>User</dc:creator>
  <cp:lastModifiedBy>User</cp:lastModifiedBy>
  <cp:revision>4</cp:revision>
  <cp:lastPrinted>2017-12-06T13:40:00Z</cp:lastPrinted>
  <dcterms:created xsi:type="dcterms:W3CDTF">2017-12-18T16:53:00Z</dcterms:created>
  <dcterms:modified xsi:type="dcterms:W3CDTF">2018-01-11T13:19:00Z</dcterms:modified>
</cp:coreProperties>
</file>