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CC6C27" w14:textId="3A2DE9FC" w:rsidR="00F1546E" w:rsidRPr="00F1546E" w:rsidRDefault="00F1546E" w:rsidP="00F1546E">
      <w:pPr>
        <w:spacing w:after="0" w:line="240" w:lineRule="auto"/>
        <w:rPr>
          <w:rFonts w:ascii="Century Gothic" w:hAnsi="Century Gothic" w:cs="Times New Roman"/>
          <w:b/>
          <w:sz w:val="24"/>
          <w:szCs w:val="24"/>
        </w:rPr>
      </w:pPr>
      <w:r w:rsidRPr="00F1546E">
        <w:rPr>
          <w:rFonts w:ascii="Century Gothic" w:hAnsi="Century Gothic" w:cs="Times New Roman"/>
          <w:b/>
          <w:sz w:val="24"/>
          <w:szCs w:val="24"/>
        </w:rPr>
        <w:t xml:space="preserve">LEI Nº </w:t>
      </w:r>
      <w:r w:rsidR="00BA0053">
        <w:rPr>
          <w:rFonts w:ascii="Century Gothic" w:hAnsi="Century Gothic" w:cs="Times New Roman"/>
          <w:b/>
          <w:sz w:val="24"/>
          <w:szCs w:val="24"/>
        </w:rPr>
        <w:t>113</w:t>
      </w:r>
      <w:r w:rsidR="00F57766">
        <w:rPr>
          <w:rFonts w:ascii="Century Gothic" w:hAnsi="Century Gothic" w:cs="Times New Roman"/>
          <w:b/>
          <w:sz w:val="24"/>
          <w:szCs w:val="24"/>
        </w:rPr>
        <w:t>3</w:t>
      </w:r>
      <w:r w:rsidRPr="00F1546E">
        <w:rPr>
          <w:rFonts w:ascii="Century Gothic" w:hAnsi="Century Gothic" w:cs="Times New Roman"/>
          <w:b/>
          <w:sz w:val="24"/>
          <w:szCs w:val="24"/>
        </w:rPr>
        <w:t>/2021</w:t>
      </w:r>
    </w:p>
    <w:p w14:paraId="585E05E8" w14:textId="77777777" w:rsidR="00F1546E" w:rsidRPr="00F1546E" w:rsidRDefault="00F1546E" w:rsidP="00F1546E">
      <w:pPr>
        <w:spacing w:after="0" w:line="240" w:lineRule="auto"/>
        <w:rPr>
          <w:rFonts w:ascii="Century Gothic" w:hAnsi="Century Gothic" w:cs="Times New Roman"/>
          <w:b/>
          <w:sz w:val="24"/>
          <w:szCs w:val="24"/>
        </w:rPr>
      </w:pPr>
    </w:p>
    <w:p w14:paraId="2A158B25" w14:textId="77777777" w:rsidR="00F1546E" w:rsidRPr="00F1546E" w:rsidRDefault="00F1546E" w:rsidP="00F1546E">
      <w:pPr>
        <w:spacing w:after="0" w:line="240" w:lineRule="auto"/>
        <w:ind w:left="2832"/>
        <w:jc w:val="both"/>
        <w:rPr>
          <w:rFonts w:ascii="Century Gothic" w:hAnsi="Century Gothic" w:cs="Times New Roman"/>
          <w:b/>
          <w:sz w:val="24"/>
          <w:szCs w:val="24"/>
        </w:rPr>
      </w:pPr>
      <w:r w:rsidRPr="00F1546E">
        <w:rPr>
          <w:rFonts w:ascii="Century Gothic" w:hAnsi="Century Gothic" w:cs="Times New Roman"/>
          <w:b/>
          <w:sz w:val="24"/>
          <w:szCs w:val="24"/>
        </w:rPr>
        <w:t>“Dispõe sobre o Plano Plurianual (PPA) do Município de Ouro Verde para o quadriênio 2022/2025 e dá outras providências.”</w:t>
      </w:r>
    </w:p>
    <w:p w14:paraId="1787D992" w14:textId="77777777" w:rsidR="00F1546E" w:rsidRPr="00F1546E" w:rsidRDefault="00F1546E" w:rsidP="00F1546E">
      <w:pPr>
        <w:spacing w:after="0" w:line="240" w:lineRule="auto"/>
        <w:ind w:left="2832"/>
        <w:jc w:val="both"/>
        <w:rPr>
          <w:rFonts w:ascii="Century Gothic" w:hAnsi="Century Gothic" w:cs="Times New Roman"/>
          <w:b/>
          <w:sz w:val="24"/>
          <w:szCs w:val="24"/>
        </w:rPr>
      </w:pPr>
    </w:p>
    <w:p w14:paraId="51B26252" w14:textId="463969DC" w:rsidR="00F1546E" w:rsidRPr="00F1546E" w:rsidRDefault="00F1546E" w:rsidP="00F1546E">
      <w:pPr>
        <w:spacing w:after="0" w:line="240" w:lineRule="auto"/>
        <w:ind w:firstLine="708"/>
        <w:jc w:val="both"/>
        <w:rPr>
          <w:rFonts w:ascii="Century Gothic" w:hAnsi="Century Gothic" w:cs="Times New Roman"/>
          <w:sz w:val="24"/>
          <w:szCs w:val="24"/>
        </w:rPr>
      </w:pPr>
      <w:r w:rsidRPr="00F1546E">
        <w:rPr>
          <w:rFonts w:ascii="Century Gothic" w:hAnsi="Century Gothic" w:cs="Times New Roman"/>
          <w:sz w:val="24"/>
          <w:szCs w:val="24"/>
        </w:rPr>
        <w:t>O Prefeito Municipal de Ouro Verde, Estado de Santa Catarina, nos termos da legislação em vigor, faz saber a todos os habitantes do município, que a Câmara de Vereadores aprovou e ele sanciona a seguinte Lei:</w:t>
      </w:r>
    </w:p>
    <w:p w14:paraId="2CB78BF3" w14:textId="77777777" w:rsidR="00F1546E" w:rsidRDefault="00F1546E" w:rsidP="00F1546E">
      <w:pPr>
        <w:spacing w:after="0" w:line="240" w:lineRule="auto"/>
        <w:ind w:firstLine="708"/>
        <w:jc w:val="both"/>
        <w:rPr>
          <w:rFonts w:ascii="Century Gothic" w:hAnsi="Century Gothic" w:cs="Times New Roman"/>
          <w:b/>
          <w:sz w:val="24"/>
          <w:szCs w:val="24"/>
        </w:rPr>
      </w:pPr>
    </w:p>
    <w:p w14:paraId="4372CB0A" w14:textId="6176FC3D" w:rsidR="00F1546E" w:rsidRPr="00F1546E" w:rsidRDefault="00F1546E" w:rsidP="00F1546E">
      <w:pPr>
        <w:spacing w:after="0" w:line="240" w:lineRule="auto"/>
        <w:ind w:firstLine="708"/>
        <w:jc w:val="both"/>
        <w:rPr>
          <w:rFonts w:ascii="Century Gothic" w:hAnsi="Century Gothic" w:cs="Times New Roman"/>
          <w:sz w:val="24"/>
          <w:szCs w:val="24"/>
        </w:rPr>
      </w:pPr>
      <w:r w:rsidRPr="00F1546E">
        <w:rPr>
          <w:rFonts w:ascii="Century Gothic" w:hAnsi="Century Gothic" w:cs="Times New Roman"/>
          <w:b/>
          <w:sz w:val="24"/>
          <w:szCs w:val="24"/>
        </w:rPr>
        <w:t xml:space="preserve">Art. 1º </w:t>
      </w:r>
      <w:r w:rsidRPr="00F1546E">
        <w:rPr>
          <w:rFonts w:ascii="Century Gothic" w:hAnsi="Century Gothic" w:cs="Times New Roman"/>
          <w:sz w:val="24"/>
          <w:szCs w:val="24"/>
        </w:rPr>
        <w:t>Esta Lei institui o Plano Plurianual para o quadriênio 2022/2025 em cumprimento ao disposto no art. 165 § 1º, da Constituição Federal, estabelecendo, para o período, os programas com seus respectivos objetivos e montantes dos recursos a serem aplicados em despesas de capital e outras delas decorrentes e nas despesas de duração continuada, na forma dos anexos desta Lei.</w:t>
      </w:r>
    </w:p>
    <w:p w14:paraId="1BF8A809" w14:textId="77777777" w:rsidR="00F1546E" w:rsidRDefault="00F1546E" w:rsidP="00F1546E">
      <w:pPr>
        <w:spacing w:after="0" w:line="240" w:lineRule="auto"/>
        <w:ind w:firstLine="708"/>
        <w:jc w:val="both"/>
        <w:rPr>
          <w:rFonts w:ascii="Century Gothic" w:hAnsi="Century Gothic" w:cs="Times New Roman"/>
          <w:b/>
          <w:sz w:val="24"/>
          <w:szCs w:val="24"/>
        </w:rPr>
      </w:pPr>
    </w:p>
    <w:p w14:paraId="25E42403" w14:textId="1880B050" w:rsidR="00F1546E" w:rsidRPr="00F1546E" w:rsidRDefault="00F1546E" w:rsidP="00F1546E">
      <w:pPr>
        <w:spacing w:after="0" w:line="240" w:lineRule="auto"/>
        <w:ind w:firstLine="708"/>
        <w:jc w:val="both"/>
        <w:rPr>
          <w:rFonts w:ascii="Century Gothic" w:hAnsi="Century Gothic" w:cs="Times New Roman"/>
          <w:sz w:val="24"/>
          <w:szCs w:val="24"/>
        </w:rPr>
      </w:pPr>
      <w:r w:rsidRPr="00F1546E">
        <w:rPr>
          <w:rFonts w:ascii="Century Gothic" w:hAnsi="Century Gothic" w:cs="Times New Roman"/>
          <w:b/>
          <w:sz w:val="24"/>
          <w:szCs w:val="24"/>
        </w:rPr>
        <w:t xml:space="preserve">Art. 2º </w:t>
      </w:r>
      <w:r w:rsidRPr="00F1546E">
        <w:rPr>
          <w:rFonts w:ascii="Century Gothic" w:hAnsi="Century Gothic" w:cs="Times New Roman"/>
          <w:sz w:val="24"/>
          <w:szCs w:val="24"/>
        </w:rPr>
        <w:t>As metas da Administração para o quadriênio 2022/2025, consolidadas por programas, são aquelas constantes no “Relatório Resumo dos Programas Detalhado por Fonte de Recursos.”</w:t>
      </w:r>
    </w:p>
    <w:p w14:paraId="6707D84A" w14:textId="77777777" w:rsidR="00F1546E" w:rsidRDefault="00F1546E" w:rsidP="00F1546E">
      <w:pPr>
        <w:spacing w:after="0" w:line="240" w:lineRule="auto"/>
        <w:ind w:firstLine="708"/>
        <w:jc w:val="both"/>
        <w:rPr>
          <w:rFonts w:ascii="Century Gothic" w:hAnsi="Century Gothic" w:cs="Times New Roman"/>
          <w:b/>
          <w:sz w:val="24"/>
          <w:szCs w:val="24"/>
        </w:rPr>
      </w:pPr>
    </w:p>
    <w:p w14:paraId="3C4657B7" w14:textId="2D5312E0" w:rsidR="00F1546E" w:rsidRPr="00F1546E" w:rsidRDefault="00F1546E" w:rsidP="00F1546E">
      <w:pPr>
        <w:spacing w:after="0" w:line="240" w:lineRule="auto"/>
        <w:ind w:firstLine="708"/>
        <w:jc w:val="both"/>
        <w:rPr>
          <w:rFonts w:ascii="Century Gothic" w:hAnsi="Century Gothic" w:cs="Times New Roman"/>
          <w:sz w:val="24"/>
          <w:szCs w:val="24"/>
        </w:rPr>
      </w:pPr>
      <w:r w:rsidRPr="00F1546E">
        <w:rPr>
          <w:rFonts w:ascii="Century Gothic" w:hAnsi="Century Gothic" w:cs="Times New Roman"/>
          <w:b/>
          <w:sz w:val="24"/>
          <w:szCs w:val="24"/>
        </w:rPr>
        <w:t xml:space="preserve">Art. 3º </w:t>
      </w:r>
      <w:r w:rsidRPr="00F1546E">
        <w:rPr>
          <w:rFonts w:ascii="Century Gothic" w:hAnsi="Century Gothic" w:cs="Times New Roman"/>
          <w:sz w:val="24"/>
          <w:szCs w:val="24"/>
        </w:rPr>
        <w:t>As planilhas que compõem o Plano Plurianual, estão estruturadas em programas, diagnósticos, diretrizes, objetivos, ações, produto, metas, justificativas, unidade de medida, valor e fonte de recursos.</w:t>
      </w:r>
    </w:p>
    <w:p w14:paraId="5BFB0643" w14:textId="77777777" w:rsidR="00F1546E" w:rsidRDefault="00F1546E" w:rsidP="00F1546E">
      <w:pPr>
        <w:spacing w:after="0" w:line="240" w:lineRule="auto"/>
        <w:ind w:firstLine="708"/>
        <w:jc w:val="both"/>
        <w:rPr>
          <w:rFonts w:ascii="Century Gothic" w:hAnsi="Century Gothic" w:cs="Times New Roman"/>
          <w:b/>
          <w:sz w:val="24"/>
          <w:szCs w:val="24"/>
        </w:rPr>
      </w:pPr>
    </w:p>
    <w:p w14:paraId="719FCC0A" w14:textId="33018293" w:rsidR="00F1546E" w:rsidRPr="00F1546E" w:rsidRDefault="00F1546E" w:rsidP="00F1546E">
      <w:pPr>
        <w:spacing w:after="0" w:line="240" w:lineRule="auto"/>
        <w:ind w:firstLine="708"/>
        <w:jc w:val="both"/>
        <w:rPr>
          <w:rFonts w:ascii="Century Gothic" w:hAnsi="Century Gothic" w:cs="Times New Roman"/>
          <w:sz w:val="24"/>
          <w:szCs w:val="24"/>
        </w:rPr>
      </w:pPr>
      <w:r w:rsidRPr="00F1546E">
        <w:rPr>
          <w:rFonts w:ascii="Century Gothic" w:hAnsi="Century Gothic" w:cs="Times New Roman"/>
          <w:b/>
          <w:sz w:val="24"/>
          <w:szCs w:val="24"/>
        </w:rPr>
        <w:t xml:space="preserve">Parágrafo Único – </w:t>
      </w:r>
      <w:r w:rsidRPr="00F1546E">
        <w:rPr>
          <w:rFonts w:ascii="Century Gothic" w:hAnsi="Century Gothic" w:cs="Times New Roman"/>
          <w:sz w:val="24"/>
          <w:szCs w:val="24"/>
        </w:rPr>
        <w:t>Para fins desta Lei, considera-se:</w:t>
      </w:r>
    </w:p>
    <w:p w14:paraId="1A637D31" w14:textId="77777777" w:rsidR="00F1546E" w:rsidRPr="00F1546E" w:rsidRDefault="00F1546E" w:rsidP="00F1546E">
      <w:pPr>
        <w:spacing w:after="0" w:line="240" w:lineRule="auto"/>
        <w:ind w:firstLine="708"/>
        <w:jc w:val="both"/>
        <w:rPr>
          <w:rFonts w:ascii="Century Gothic" w:hAnsi="Century Gothic" w:cs="Times New Roman"/>
          <w:sz w:val="24"/>
          <w:szCs w:val="24"/>
        </w:rPr>
      </w:pPr>
      <w:r w:rsidRPr="00F1546E">
        <w:rPr>
          <w:rFonts w:ascii="Century Gothic" w:hAnsi="Century Gothic" w:cs="Times New Roman"/>
          <w:sz w:val="24"/>
          <w:szCs w:val="24"/>
        </w:rPr>
        <w:t>I – Programa: o instrumento de organização da ação governamental visando à concretização dos objetivos pretendidos;</w:t>
      </w:r>
    </w:p>
    <w:p w14:paraId="75C68775" w14:textId="77777777" w:rsidR="00F1546E" w:rsidRPr="00F1546E" w:rsidRDefault="00F1546E" w:rsidP="00F1546E">
      <w:pPr>
        <w:spacing w:after="0" w:line="240" w:lineRule="auto"/>
        <w:ind w:firstLine="708"/>
        <w:jc w:val="both"/>
        <w:rPr>
          <w:rFonts w:ascii="Century Gothic" w:hAnsi="Century Gothic" w:cs="Times New Roman"/>
          <w:sz w:val="24"/>
          <w:szCs w:val="24"/>
        </w:rPr>
      </w:pPr>
      <w:r w:rsidRPr="00F1546E">
        <w:rPr>
          <w:rFonts w:ascii="Century Gothic" w:hAnsi="Century Gothic" w:cs="Times New Roman"/>
          <w:sz w:val="24"/>
          <w:szCs w:val="24"/>
        </w:rPr>
        <w:t>II – Diagnóstico: a identificação, a caracterização e a mensuração dos problemas e necessidades;</w:t>
      </w:r>
    </w:p>
    <w:p w14:paraId="5C47785B" w14:textId="77777777" w:rsidR="00F1546E" w:rsidRPr="00F1546E" w:rsidRDefault="00F1546E" w:rsidP="00F1546E">
      <w:pPr>
        <w:spacing w:after="0" w:line="240" w:lineRule="auto"/>
        <w:ind w:firstLine="708"/>
        <w:jc w:val="both"/>
        <w:rPr>
          <w:rFonts w:ascii="Century Gothic" w:hAnsi="Century Gothic" w:cs="Times New Roman"/>
          <w:sz w:val="24"/>
          <w:szCs w:val="24"/>
        </w:rPr>
      </w:pPr>
      <w:r w:rsidRPr="00F1546E">
        <w:rPr>
          <w:rFonts w:ascii="Century Gothic" w:hAnsi="Century Gothic" w:cs="Times New Roman"/>
          <w:sz w:val="24"/>
          <w:szCs w:val="24"/>
        </w:rPr>
        <w:t>III – Diretrizes: conjunto de critérios de ação e decisão que devem disciplinar e orientar a atuação governamental;</w:t>
      </w:r>
    </w:p>
    <w:p w14:paraId="3CE127C8" w14:textId="5D0337FD" w:rsidR="00F1546E" w:rsidRPr="00F1546E" w:rsidRDefault="00F1546E" w:rsidP="00F1546E">
      <w:pPr>
        <w:spacing w:after="0" w:line="240" w:lineRule="auto"/>
        <w:ind w:firstLine="708"/>
        <w:jc w:val="both"/>
        <w:rPr>
          <w:rFonts w:ascii="Century Gothic" w:hAnsi="Century Gothic" w:cs="Times New Roman"/>
          <w:sz w:val="24"/>
          <w:szCs w:val="24"/>
        </w:rPr>
      </w:pPr>
      <w:r w:rsidRPr="00F1546E">
        <w:rPr>
          <w:rFonts w:ascii="Century Gothic" w:hAnsi="Century Gothic" w:cs="Times New Roman"/>
          <w:sz w:val="24"/>
          <w:szCs w:val="24"/>
        </w:rPr>
        <w:t>IV – Objetivos: os resultados que se pretende alcançar com a realização das ações governamentais;</w:t>
      </w:r>
    </w:p>
    <w:p w14:paraId="24BFECA3" w14:textId="77777777" w:rsidR="00F1546E" w:rsidRPr="00F1546E" w:rsidRDefault="00F1546E" w:rsidP="00F1546E">
      <w:pPr>
        <w:spacing w:after="0" w:line="240" w:lineRule="auto"/>
        <w:ind w:firstLine="708"/>
        <w:jc w:val="both"/>
        <w:rPr>
          <w:rFonts w:ascii="Century Gothic" w:hAnsi="Century Gothic" w:cs="Times New Roman"/>
          <w:sz w:val="24"/>
          <w:szCs w:val="24"/>
        </w:rPr>
      </w:pPr>
      <w:r w:rsidRPr="00F1546E">
        <w:rPr>
          <w:rFonts w:ascii="Century Gothic" w:hAnsi="Century Gothic" w:cs="Times New Roman"/>
          <w:sz w:val="24"/>
          <w:szCs w:val="24"/>
        </w:rPr>
        <w:t>V – Ações: o conjunto de procedimentos e trabalhos governamentais com vistas à execução do programa;</w:t>
      </w:r>
    </w:p>
    <w:p w14:paraId="71E5FFE7" w14:textId="33FE6EB1" w:rsidR="00F1546E" w:rsidRPr="00F1546E" w:rsidRDefault="00F1546E" w:rsidP="00F1546E">
      <w:pPr>
        <w:spacing w:after="0" w:line="240" w:lineRule="auto"/>
        <w:ind w:firstLine="708"/>
        <w:jc w:val="both"/>
        <w:rPr>
          <w:rFonts w:ascii="Century Gothic" w:hAnsi="Century Gothic" w:cs="Times New Roman"/>
          <w:sz w:val="24"/>
          <w:szCs w:val="24"/>
        </w:rPr>
      </w:pPr>
      <w:r w:rsidRPr="00F1546E">
        <w:rPr>
          <w:rFonts w:ascii="Century Gothic" w:hAnsi="Century Gothic" w:cs="Times New Roman"/>
          <w:sz w:val="24"/>
          <w:szCs w:val="24"/>
        </w:rPr>
        <w:t>VI – Produto: os bens e serviços produzidos em cada ação governamental na execução do programa;</w:t>
      </w:r>
    </w:p>
    <w:p w14:paraId="1F974731" w14:textId="77777777" w:rsidR="00F1546E" w:rsidRPr="00F1546E" w:rsidRDefault="00F1546E" w:rsidP="00F1546E">
      <w:pPr>
        <w:spacing w:after="0" w:line="240" w:lineRule="auto"/>
        <w:ind w:firstLine="708"/>
        <w:jc w:val="both"/>
        <w:rPr>
          <w:rFonts w:ascii="Century Gothic" w:hAnsi="Century Gothic" w:cs="Times New Roman"/>
          <w:sz w:val="24"/>
          <w:szCs w:val="24"/>
        </w:rPr>
      </w:pPr>
      <w:r w:rsidRPr="00F1546E">
        <w:rPr>
          <w:rFonts w:ascii="Century Gothic" w:hAnsi="Century Gothic" w:cs="Times New Roman"/>
          <w:sz w:val="24"/>
          <w:szCs w:val="24"/>
        </w:rPr>
        <w:t>VII – Metas: os objetivos quantitativos em termos de produtos e resultados a alcançar.</w:t>
      </w:r>
    </w:p>
    <w:p w14:paraId="5D57E52B" w14:textId="77777777" w:rsidR="00F1546E" w:rsidRDefault="00F1546E" w:rsidP="00F1546E">
      <w:pPr>
        <w:spacing w:after="0" w:line="240" w:lineRule="auto"/>
        <w:ind w:firstLine="708"/>
        <w:jc w:val="both"/>
        <w:rPr>
          <w:rFonts w:ascii="Century Gothic" w:hAnsi="Century Gothic" w:cs="Times New Roman"/>
          <w:b/>
          <w:sz w:val="24"/>
          <w:szCs w:val="24"/>
        </w:rPr>
      </w:pPr>
    </w:p>
    <w:p w14:paraId="0992E976" w14:textId="482C0F68" w:rsidR="00F1546E" w:rsidRPr="00F1546E" w:rsidRDefault="00F1546E" w:rsidP="00F1546E">
      <w:pPr>
        <w:spacing w:after="0" w:line="240" w:lineRule="auto"/>
        <w:ind w:firstLine="708"/>
        <w:jc w:val="both"/>
        <w:rPr>
          <w:rFonts w:ascii="Century Gothic" w:hAnsi="Century Gothic" w:cs="Times New Roman"/>
          <w:sz w:val="24"/>
          <w:szCs w:val="24"/>
        </w:rPr>
      </w:pPr>
      <w:r w:rsidRPr="00F1546E">
        <w:rPr>
          <w:rFonts w:ascii="Century Gothic" w:hAnsi="Century Gothic" w:cs="Times New Roman"/>
          <w:b/>
          <w:sz w:val="24"/>
          <w:szCs w:val="24"/>
        </w:rPr>
        <w:t xml:space="preserve">Art. 4º </w:t>
      </w:r>
      <w:r w:rsidRPr="00F1546E">
        <w:rPr>
          <w:rFonts w:ascii="Century Gothic" w:hAnsi="Century Gothic" w:cs="Times New Roman"/>
          <w:sz w:val="24"/>
          <w:szCs w:val="24"/>
        </w:rPr>
        <w:t>A execução ou alteração dos programas constantes desta Lei, bem como a inclusão de novos programas, serão propostos pelo poder executivo através de Projeto de Lei de Revisão do Plano ou Projeto de Lei Específica.</w:t>
      </w:r>
    </w:p>
    <w:p w14:paraId="571FEEFF" w14:textId="77777777" w:rsidR="00F1546E" w:rsidRDefault="00F1546E" w:rsidP="00F1546E">
      <w:pPr>
        <w:spacing w:after="0" w:line="240" w:lineRule="auto"/>
        <w:ind w:firstLine="708"/>
        <w:jc w:val="both"/>
        <w:rPr>
          <w:rFonts w:ascii="Century Gothic" w:hAnsi="Century Gothic" w:cs="Times New Roman"/>
          <w:b/>
          <w:sz w:val="24"/>
          <w:szCs w:val="24"/>
        </w:rPr>
      </w:pPr>
    </w:p>
    <w:p w14:paraId="6413125B" w14:textId="0FFF7B0A" w:rsidR="00F1546E" w:rsidRPr="00F1546E" w:rsidRDefault="00F1546E" w:rsidP="00F1546E">
      <w:pPr>
        <w:spacing w:after="0" w:line="240" w:lineRule="auto"/>
        <w:ind w:firstLine="708"/>
        <w:jc w:val="both"/>
        <w:rPr>
          <w:rFonts w:ascii="Century Gothic" w:hAnsi="Century Gothic" w:cs="Times New Roman"/>
          <w:sz w:val="24"/>
          <w:szCs w:val="24"/>
        </w:rPr>
      </w:pPr>
      <w:r w:rsidRPr="00F1546E">
        <w:rPr>
          <w:rFonts w:ascii="Century Gothic" w:hAnsi="Century Gothic" w:cs="Times New Roman"/>
          <w:b/>
          <w:sz w:val="24"/>
          <w:szCs w:val="24"/>
        </w:rPr>
        <w:t xml:space="preserve">Art. 5º </w:t>
      </w:r>
      <w:r w:rsidRPr="00F1546E">
        <w:rPr>
          <w:rFonts w:ascii="Century Gothic" w:hAnsi="Century Gothic" w:cs="Times New Roman"/>
          <w:sz w:val="24"/>
          <w:szCs w:val="24"/>
        </w:rPr>
        <w:t>A inclusão, exclusão ou alteração de ações orçamentárias do Plano Plurianual poderá ocorrer por intermédio da Lei Orçamentária Anual ou de seus critérios adicionais, apropriando-se ao respectivo programa as modificações consequentes.</w:t>
      </w:r>
    </w:p>
    <w:p w14:paraId="1DFEE60E" w14:textId="77777777" w:rsidR="00F1546E" w:rsidRDefault="00F1546E" w:rsidP="00F1546E">
      <w:pPr>
        <w:spacing w:after="0" w:line="240" w:lineRule="auto"/>
        <w:ind w:firstLine="708"/>
        <w:jc w:val="both"/>
        <w:rPr>
          <w:rFonts w:ascii="Century Gothic" w:hAnsi="Century Gothic" w:cs="Times New Roman"/>
          <w:b/>
          <w:sz w:val="24"/>
          <w:szCs w:val="24"/>
        </w:rPr>
      </w:pPr>
    </w:p>
    <w:p w14:paraId="4AB419A1" w14:textId="7F208799" w:rsidR="00F1546E" w:rsidRPr="00F1546E" w:rsidRDefault="00F1546E" w:rsidP="00F1546E">
      <w:pPr>
        <w:spacing w:after="0" w:line="240" w:lineRule="auto"/>
        <w:ind w:firstLine="708"/>
        <w:jc w:val="both"/>
        <w:rPr>
          <w:rFonts w:ascii="Century Gothic" w:hAnsi="Century Gothic" w:cs="Times New Roman"/>
          <w:sz w:val="24"/>
          <w:szCs w:val="24"/>
        </w:rPr>
      </w:pPr>
      <w:r w:rsidRPr="00F1546E">
        <w:rPr>
          <w:rFonts w:ascii="Century Gothic" w:hAnsi="Century Gothic" w:cs="Times New Roman"/>
          <w:b/>
          <w:sz w:val="24"/>
          <w:szCs w:val="24"/>
        </w:rPr>
        <w:t xml:space="preserve">Parágrafo Único – </w:t>
      </w:r>
      <w:r w:rsidRPr="00F1546E">
        <w:rPr>
          <w:rFonts w:ascii="Century Gothic" w:hAnsi="Century Gothic" w:cs="Times New Roman"/>
          <w:sz w:val="24"/>
          <w:szCs w:val="24"/>
        </w:rPr>
        <w:t>De acordo com o disposto no caput deste artigo, serão adequadas as metas das ações orçamentárias para compatibilizá-las com as alterações de valor ou com outras modificações efetivas na Lei Orçamentária Anual.</w:t>
      </w:r>
    </w:p>
    <w:p w14:paraId="7AE8BEE4" w14:textId="77777777" w:rsidR="00F1546E" w:rsidRDefault="00F1546E" w:rsidP="00F1546E">
      <w:pPr>
        <w:spacing w:after="0" w:line="240" w:lineRule="auto"/>
        <w:ind w:firstLine="708"/>
        <w:jc w:val="both"/>
        <w:rPr>
          <w:rFonts w:ascii="Century Gothic" w:hAnsi="Century Gothic" w:cs="Times New Roman"/>
          <w:b/>
          <w:sz w:val="24"/>
          <w:szCs w:val="24"/>
        </w:rPr>
      </w:pPr>
    </w:p>
    <w:p w14:paraId="7A4816E4" w14:textId="56CC6919" w:rsidR="00F1546E" w:rsidRPr="00F1546E" w:rsidRDefault="00F1546E" w:rsidP="00F1546E">
      <w:pPr>
        <w:spacing w:after="0" w:line="240" w:lineRule="auto"/>
        <w:ind w:firstLine="708"/>
        <w:jc w:val="both"/>
        <w:rPr>
          <w:rFonts w:ascii="Century Gothic" w:hAnsi="Century Gothic" w:cs="Times New Roman"/>
          <w:sz w:val="24"/>
          <w:szCs w:val="24"/>
        </w:rPr>
      </w:pPr>
      <w:r w:rsidRPr="00F1546E">
        <w:rPr>
          <w:rFonts w:ascii="Century Gothic" w:hAnsi="Century Gothic" w:cs="Times New Roman"/>
          <w:b/>
          <w:sz w:val="24"/>
          <w:szCs w:val="24"/>
        </w:rPr>
        <w:t xml:space="preserve">Art. 6º </w:t>
      </w:r>
      <w:r w:rsidRPr="00F1546E">
        <w:rPr>
          <w:rFonts w:ascii="Century Gothic" w:hAnsi="Century Gothic" w:cs="Times New Roman"/>
          <w:sz w:val="24"/>
          <w:szCs w:val="24"/>
        </w:rPr>
        <w:t>A Lei de Diretrizes Orçamentárias (LDO) de cada exercício financeiro indicará as ações prioritárias a serem incluídas na Lei Orçamentária Anual (LOA) e terão suas bases extraídas do Plano Plurianual (PPA).</w:t>
      </w:r>
    </w:p>
    <w:p w14:paraId="137047D4" w14:textId="77777777" w:rsidR="00F1546E" w:rsidRDefault="00F1546E" w:rsidP="00F1546E">
      <w:pPr>
        <w:spacing w:after="0" w:line="240" w:lineRule="auto"/>
        <w:ind w:firstLine="708"/>
        <w:jc w:val="both"/>
        <w:rPr>
          <w:rFonts w:ascii="Century Gothic" w:hAnsi="Century Gothic" w:cs="Times New Roman"/>
          <w:b/>
          <w:sz w:val="24"/>
          <w:szCs w:val="24"/>
        </w:rPr>
      </w:pPr>
    </w:p>
    <w:p w14:paraId="3AA32E20" w14:textId="4DF036B9" w:rsidR="00F1546E" w:rsidRPr="00F1546E" w:rsidRDefault="00F1546E" w:rsidP="00F1546E">
      <w:pPr>
        <w:spacing w:after="0" w:line="240" w:lineRule="auto"/>
        <w:ind w:firstLine="708"/>
        <w:jc w:val="both"/>
        <w:rPr>
          <w:rFonts w:ascii="Century Gothic" w:hAnsi="Century Gothic" w:cs="Times New Roman"/>
          <w:sz w:val="24"/>
          <w:szCs w:val="24"/>
        </w:rPr>
      </w:pPr>
      <w:r w:rsidRPr="00F1546E">
        <w:rPr>
          <w:rFonts w:ascii="Century Gothic" w:hAnsi="Century Gothic" w:cs="Times New Roman"/>
          <w:b/>
          <w:sz w:val="24"/>
          <w:szCs w:val="24"/>
        </w:rPr>
        <w:t xml:space="preserve">Art. 7º </w:t>
      </w:r>
      <w:r w:rsidRPr="00F1546E">
        <w:rPr>
          <w:rFonts w:ascii="Century Gothic" w:hAnsi="Century Gothic" w:cs="Times New Roman"/>
          <w:sz w:val="24"/>
          <w:szCs w:val="24"/>
        </w:rPr>
        <w:t>O Poder Executivo poderá aumentar ou diminuir as metas estabelecidas, a fim de compatibilizar a despesa orçada com a receita estimada em cada exercício, de forma a assegurar o equilíbrio das contas públicas.</w:t>
      </w:r>
    </w:p>
    <w:p w14:paraId="34B2AA0F" w14:textId="77777777" w:rsidR="00F1546E" w:rsidRDefault="00F1546E" w:rsidP="00F1546E">
      <w:pPr>
        <w:spacing w:after="0" w:line="240" w:lineRule="auto"/>
        <w:ind w:firstLine="708"/>
        <w:jc w:val="both"/>
        <w:rPr>
          <w:rFonts w:ascii="Century Gothic" w:hAnsi="Century Gothic" w:cs="Times New Roman"/>
          <w:b/>
          <w:sz w:val="24"/>
          <w:szCs w:val="24"/>
        </w:rPr>
      </w:pPr>
    </w:p>
    <w:p w14:paraId="212D60DC" w14:textId="558043B7" w:rsidR="00F1546E" w:rsidRPr="00F1546E" w:rsidRDefault="00F1546E" w:rsidP="00F1546E">
      <w:pPr>
        <w:spacing w:after="0" w:line="240" w:lineRule="auto"/>
        <w:ind w:firstLine="708"/>
        <w:jc w:val="both"/>
        <w:rPr>
          <w:rFonts w:ascii="Century Gothic" w:hAnsi="Century Gothic" w:cs="Times New Roman"/>
          <w:sz w:val="24"/>
          <w:szCs w:val="24"/>
        </w:rPr>
      </w:pPr>
      <w:r w:rsidRPr="00F1546E">
        <w:rPr>
          <w:rFonts w:ascii="Century Gothic" w:hAnsi="Century Gothic" w:cs="Times New Roman"/>
          <w:b/>
          <w:sz w:val="24"/>
          <w:szCs w:val="24"/>
        </w:rPr>
        <w:t xml:space="preserve">Art. 8º </w:t>
      </w:r>
      <w:r w:rsidRPr="00F1546E">
        <w:rPr>
          <w:rFonts w:ascii="Century Gothic" w:hAnsi="Century Gothic" w:cs="Times New Roman"/>
          <w:sz w:val="24"/>
          <w:szCs w:val="24"/>
        </w:rPr>
        <w:t>Nenhum investimento cuja execução ultrapasse um exercício financeiro poderá ser iniciado sem prévia inclusão no PPA, ou sem lei específica que autorize sua inclusão.</w:t>
      </w:r>
    </w:p>
    <w:p w14:paraId="4927EDAB" w14:textId="77777777" w:rsidR="00F1546E" w:rsidRPr="00BA0053" w:rsidRDefault="00F1546E" w:rsidP="00F1546E">
      <w:pPr>
        <w:spacing w:after="0" w:line="240" w:lineRule="auto"/>
        <w:ind w:firstLine="708"/>
        <w:jc w:val="both"/>
        <w:rPr>
          <w:rFonts w:ascii="Century Gothic" w:hAnsi="Century Gothic" w:cs="Times New Roman"/>
          <w:b/>
          <w:sz w:val="16"/>
          <w:szCs w:val="16"/>
        </w:rPr>
      </w:pPr>
    </w:p>
    <w:p w14:paraId="64E9AC97" w14:textId="4532CE7A" w:rsidR="00F1546E" w:rsidRPr="00F1546E" w:rsidRDefault="00F1546E" w:rsidP="00F1546E">
      <w:pPr>
        <w:spacing w:after="0" w:line="240" w:lineRule="auto"/>
        <w:ind w:firstLine="708"/>
        <w:jc w:val="both"/>
        <w:rPr>
          <w:rFonts w:ascii="Century Gothic" w:hAnsi="Century Gothic" w:cs="Times New Roman"/>
          <w:sz w:val="24"/>
          <w:szCs w:val="24"/>
        </w:rPr>
      </w:pPr>
      <w:r w:rsidRPr="00F1546E">
        <w:rPr>
          <w:rFonts w:ascii="Century Gothic" w:hAnsi="Century Gothic" w:cs="Times New Roman"/>
          <w:b/>
          <w:sz w:val="24"/>
          <w:szCs w:val="24"/>
        </w:rPr>
        <w:t xml:space="preserve">Art. 9º </w:t>
      </w:r>
      <w:r w:rsidRPr="00F1546E">
        <w:rPr>
          <w:rFonts w:ascii="Century Gothic" w:hAnsi="Century Gothic" w:cs="Times New Roman"/>
          <w:sz w:val="24"/>
          <w:szCs w:val="24"/>
        </w:rPr>
        <w:t>Esta lei entra em vigor na data de sua publicação.</w:t>
      </w:r>
    </w:p>
    <w:p w14:paraId="738F006F" w14:textId="77777777" w:rsidR="00F1546E" w:rsidRPr="00F1546E" w:rsidRDefault="00F1546E" w:rsidP="00F1546E">
      <w:pPr>
        <w:spacing w:after="0" w:line="240" w:lineRule="auto"/>
        <w:ind w:firstLine="708"/>
        <w:jc w:val="both"/>
        <w:rPr>
          <w:rFonts w:ascii="Century Gothic" w:hAnsi="Century Gothic" w:cs="Times New Roman"/>
          <w:sz w:val="24"/>
          <w:szCs w:val="24"/>
        </w:rPr>
      </w:pPr>
    </w:p>
    <w:p w14:paraId="50108B86" w14:textId="126C307C" w:rsidR="00F1546E" w:rsidRPr="00F1546E" w:rsidRDefault="00F1546E" w:rsidP="00F1546E">
      <w:pPr>
        <w:spacing w:after="0" w:line="240" w:lineRule="auto"/>
        <w:ind w:firstLine="708"/>
        <w:jc w:val="right"/>
        <w:rPr>
          <w:rFonts w:ascii="Century Gothic" w:hAnsi="Century Gothic" w:cs="Times New Roman"/>
          <w:sz w:val="24"/>
          <w:szCs w:val="24"/>
        </w:rPr>
      </w:pPr>
      <w:r w:rsidRPr="00F1546E">
        <w:rPr>
          <w:rFonts w:ascii="Century Gothic" w:hAnsi="Century Gothic" w:cs="Times New Roman"/>
          <w:sz w:val="24"/>
          <w:szCs w:val="24"/>
        </w:rPr>
        <w:t xml:space="preserve">Ouro Verde – SC, </w:t>
      </w:r>
      <w:r w:rsidR="00F57766">
        <w:rPr>
          <w:rFonts w:ascii="Century Gothic" w:hAnsi="Century Gothic" w:cs="Times New Roman"/>
          <w:sz w:val="24"/>
          <w:szCs w:val="24"/>
        </w:rPr>
        <w:t>1</w:t>
      </w:r>
      <w:r w:rsidR="00BA0053">
        <w:rPr>
          <w:rFonts w:ascii="Century Gothic" w:hAnsi="Century Gothic" w:cs="Times New Roman"/>
          <w:sz w:val="24"/>
          <w:szCs w:val="24"/>
        </w:rPr>
        <w:t>0</w:t>
      </w:r>
      <w:r w:rsidRPr="00F1546E">
        <w:rPr>
          <w:rFonts w:ascii="Century Gothic" w:hAnsi="Century Gothic" w:cs="Times New Roman"/>
          <w:sz w:val="24"/>
          <w:szCs w:val="24"/>
        </w:rPr>
        <w:t xml:space="preserve"> de </w:t>
      </w:r>
      <w:r w:rsidR="00BA0053">
        <w:rPr>
          <w:rFonts w:ascii="Century Gothic" w:hAnsi="Century Gothic" w:cs="Times New Roman"/>
          <w:sz w:val="24"/>
          <w:szCs w:val="24"/>
        </w:rPr>
        <w:t>setembro</w:t>
      </w:r>
      <w:r w:rsidRPr="00F1546E">
        <w:rPr>
          <w:rFonts w:ascii="Century Gothic" w:hAnsi="Century Gothic" w:cs="Times New Roman"/>
          <w:sz w:val="24"/>
          <w:szCs w:val="24"/>
        </w:rPr>
        <w:t xml:space="preserve"> de 2021.</w:t>
      </w:r>
    </w:p>
    <w:p w14:paraId="25C56E6B" w14:textId="77777777" w:rsidR="00F1546E" w:rsidRPr="00F1546E" w:rsidRDefault="00F1546E" w:rsidP="00F1546E">
      <w:pPr>
        <w:spacing w:after="0" w:line="240" w:lineRule="auto"/>
        <w:ind w:firstLine="708"/>
        <w:jc w:val="right"/>
        <w:rPr>
          <w:rFonts w:ascii="Century Gothic" w:hAnsi="Century Gothic" w:cs="Times New Roman"/>
          <w:sz w:val="24"/>
          <w:szCs w:val="24"/>
        </w:rPr>
      </w:pPr>
    </w:p>
    <w:p w14:paraId="5BDD9716" w14:textId="77777777" w:rsidR="002F536F" w:rsidRPr="00F1546E" w:rsidRDefault="002F536F" w:rsidP="00F1546E">
      <w:pPr>
        <w:spacing w:after="0" w:line="240" w:lineRule="auto"/>
        <w:ind w:firstLine="708"/>
        <w:jc w:val="right"/>
        <w:rPr>
          <w:rFonts w:ascii="Century Gothic" w:hAnsi="Century Gothic" w:cs="Times New Roman"/>
          <w:sz w:val="24"/>
          <w:szCs w:val="24"/>
        </w:rPr>
      </w:pPr>
    </w:p>
    <w:p w14:paraId="203D53B6" w14:textId="77777777" w:rsidR="00F1546E" w:rsidRPr="00F1546E" w:rsidRDefault="00F1546E" w:rsidP="00652B58">
      <w:pPr>
        <w:spacing w:after="0" w:line="240" w:lineRule="auto"/>
        <w:jc w:val="center"/>
        <w:rPr>
          <w:rFonts w:ascii="Century Gothic" w:hAnsi="Century Gothic" w:cs="Times New Roman"/>
          <w:b/>
          <w:sz w:val="24"/>
          <w:szCs w:val="24"/>
        </w:rPr>
      </w:pPr>
      <w:r w:rsidRPr="00F1546E">
        <w:rPr>
          <w:rFonts w:ascii="Century Gothic" w:hAnsi="Century Gothic" w:cs="Times New Roman"/>
          <w:b/>
          <w:sz w:val="24"/>
          <w:szCs w:val="24"/>
        </w:rPr>
        <w:t xml:space="preserve">Moacir </w:t>
      </w:r>
      <w:proofErr w:type="spellStart"/>
      <w:r w:rsidRPr="00F1546E">
        <w:rPr>
          <w:rFonts w:ascii="Century Gothic" w:hAnsi="Century Gothic" w:cs="Times New Roman"/>
          <w:b/>
          <w:sz w:val="24"/>
          <w:szCs w:val="24"/>
        </w:rPr>
        <w:t>Mottin</w:t>
      </w:r>
      <w:proofErr w:type="spellEnd"/>
    </w:p>
    <w:p w14:paraId="360509B2" w14:textId="076F0AE3" w:rsidR="001422FE" w:rsidRDefault="00F1546E" w:rsidP="00652B58">
      <w:pPr>
        <w:spacing w:after="0" w:line="240" w:lineRule="auto"/>
        <w:jc w:val="center"/>
        <w:rPr>
          <w:rFonts w:ascii="Century Gothic" w:hAnsi="Century Gothic" w:cs="Times New Roman"/>
          <w:sz w:val="24"/>
          <w:szCs w:val="24"/>
        </w:rPr>
      </w:pPr>
      <w:r w:rsidRPr="00F1546E">
        <w:rPr>
          <w:rFonts w:ascii="Century Gothic" w:hAnsi="Century Gothic" w:cs="Times New Roman"/>
          <w:sz w:val="24"/>
          <w:szCs w:val="24"/>
        </w:rPr>
        <w:t>Prefeito Municipal</w:t>
      </w:r>
    </w:p>
    <w:p w14:paraId="4A016C26" w14:textId="77777777" w:rsidR="00BA0053" w:rsidRPr="00BA0053" w:rsidRDefault="00BA0053" w:rsidP="00652B58">
      <w:pPr>
        <w:spacing w:after="0" w:line="240" w:lineRule="auto"/>
        <w:jc w:val="center"/>
        <w:rPr>
          <w:rFonts w:ascii="Century Gothic" w:hAnsi="Century Gothic" w:cs="Times New Roman"/>
          <w:sz w:val="16"/>
          <w:szCs w:val="16"/>
        </w:rPr>
      </w:pPr>
    </w:p>
    <w:p w14:paraId="41F7BA3E" w14:textId="76110370" w:rsidR="00BA0053" w:rsidRDefault="00BA0053" w:rsidP="00BA0053">
      <w:pPr>
        <w:spacing w:after="0" w:line="240" w:lineRule="auto"/>
        <w:rPr>
          <w:rFonts w:ascii="Century Gothic" w:hAnsi="Century Gothic" w:cs="Times New Roman"/>
          <w:sz w:val="24"/>
          <w:szCs w:val="24"/>
        </w:rPr>
      </w:pPr>
      <w:r>
        <w:rPr>
          <w:rFonts w:ascii="Century Gothic" w:hAnsi="Century Gothic" w:cs="Times New Roman"/>
          <w:sz w:val="24"/>
          <w:szCs w:val="24"/>
        </w:rPr>
        <w:tab/>
        <w:t>A presente Lei foi registrada e publicada em data supra.</w:t>
      </w:r>
    </w:p>
    <w:p w14:paraId="6A93DFB7" w14:textId="16E3B3C5" w:rsidR="00F57766" w:rsidRDefault="00F57766" w:rsidP="00652B58">
      <w:pPr>
        <w:spacing w:after="0" w:line="240" w:lineRule="auto"/>
        <w:jc w:val="center"/>
        <w:rPr>
          <w:rFonts w:ascii="Century Gothic" w:hAnsi="Century Gothic" w:cs="Times New Roman"/>
          <w:sz w:val="24"/>
          <w:szCs w:val="24"/>
        </w:rPr>
      </w:pPr>
    </w:p>
    <w:p w14:paraId="387444EA" w14:textId="77777777" w:rsidR="00BA0053" w:rsidRDefault="00BA0053" w:rsidP="00652B58">
      <w:pPr>
        <w:spacing w:after="0" w:line="240" w:lineRule="auto"/>
        <w:jc w:val="center"/>
        <w:rPr>
          <w:rFonts w:ascii="Century Gothic" w:hAnsi="Century Gothic" w:cs="Times New Roman"/>
          <w:sz w:val="24"/>
          <w:szCs w:val="24"/>
        </w:rPr>
      </w:pPr>
    </w:p>
    <w:p w14:paraId="10DBA1AA" w14:textId="2202BB38" w:rsidR="00BA0053" w:rsidRPr="00BA0053" w:rsidRDefault="00BA0053" w:rsidP="00652B58">
      <w:pPr>
        <w:spacing w:after="0" w:line="240" w:lineRule="auto"/>
        <w:jc w:val="center"/>
        <w:rPr>
          <w:rFonts w:ascii="Century Gothic" w:hAnsi="Century Gothic" w:cs="Times New Roman"/>
          <w:b/>
          <w:sz w:val="24"/>
          <w:szCs w:val="24"/>
        </w:rPr>
      </w:pPr>
      <w:r w:rsidRPr="00BA0053">
        <w:rPr>
          <w:rFonts w:ascii="Century Gothic" w:hAnsi="Century Gothic" w:cs="Times New Roman"/>
          <w:b/>
          <w:sz w:val="24"/>
          <w:szCs w:val="24"/>
        </w:rPr>
        <w:t>Giovana do Prado da Mott</w:t>
      </w:r>
      <w:r>
        <w:rPr>
          <w:rFonts w:ascii="Century Gothic" w:hAnsi="Century Gothic" w:cs="Times New Roman"/>
          <w:b/>
          <w:sz w:val="24"/>
          <w:szCs w:val="24"/>
        </w:rPr>
        <w:t>a</w:t>
      </w:r>
    </w:p>
    <w:p w14:paraId="49A78985" w14:textId="7F2399BE" w:rsidR="00F57766" w:rsidRDefault="00BA0053" w:rsidP="00652B58">
      <w:pPr>
        <w:spacing w:after="0" w:line="240" w:lineRule="auto"/>
        <w:jc w:val="center"/>
        <w:rPr>
          <w:rFonts w:ascii="Century Gothic" w:hAnsi="Century Gothic" w:cs="Times New Roman"/>
          <w:sz w:val="24"/>
          <w:szCs w:val="24"/>
        </w:rPr>
      </w:pPr>
      <w:proofErr w:type="gramStart"/>
      <w:r>
        <w:rPr>
          <w:rFonts w:ascii="Century Gothic" w:hAnsi="Century Gothic" w:cs="Times New Roman"/>
          <w:sz w:val="24"/>
          <w:szCs w:val="24"/>
        </w:rPr>
        <w:t>Vice Prefeita</w:t>
      </w:r>
      <w:proofErr w:type="gramEnd"/>
      <w:r>
        <w:rPr>
          <w:rFonts w:ascii="Century Gothic" w:hAnsi="Century Gothic" w:cs="Times New Roman"/>
          <w:sz w:val="24"/>
          <w:szCs w:val="24"/>
        </w:rPr>
        <w:t xml:space="preserve"> Municipal</w:t>
      </w:r>
      <w:bookmarkStart w:id="0" w:name="_GoBack"/>
      <w:bookmarkEnd w:id="0"/>
    </w:p>
    <w:sectPr w:rsidR="00F57766" w:rsidSect="00F57766">
      <w:headerReference w:type="default" r:id="rId8"/>
      <w:footerReference w:type="even" r:id="rId9"/>
      <w:footerReference w:type="default" r:id="rId10"/>
      <w:pgSz w:w="11907" w:h="15876"/>
      <w:pgMar w:top="1701" w:right="1134" w:bottom="1134" w:left="1418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83B0D2" w14:textId="77777777" w:rsidR="00D74B51" w:rsidRDefault="00D74B51" w:rsidP="00B65862">
      <w:r>
        <w:separator/>
      </w:r>
    </w:p>
  </w:endnote>
  <w:endnote w:type="continuationSeparator" w:id="0">
    <w:p w14:paraId="67E6E91D" w14:textId="77777777" w:rsidR="00D74B51" w:rsidRDefault="00D74B51" w:rsidP="00B65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 Extra Bold">
    <w:altName w:val="Tahoma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9461F" w14:textId="77777777" w:rsidR="005734D0" w:rsidRDefault="00692F03" w:rsidP="005734D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86F5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0A3DEF2" w14:textId="77777777" w:rsidR="005734D0" w:rsidRDefault="005734D0" w:rsidP="005734D0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FFBAF4" w14:textId="27D8355E" w:rsidR="005734D0" w:rsidRDefault="00692F03" w:rsidP="005734D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86F5E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A0053">
      <w:rPr>
        <w:rStyle w:val="Nmerodepgina"/>
        <w:noProof/>
      </w:rPr>
      <w:t>2</w:t>
    </w:r>
    <w:r>
      <w:rPr>
        <w:rStyle w:val="Nmerodepgina"/>
      </w:rPr>
      <w:fldChar w:fldCharType="end"/>
    </w:r>
  </w:p>
  <w:tbl>
    <w:tblPr>
      <w:tblW w:w="96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562"/>
      <w:gridCol w:w="2048"/>
    </w:tblGrid>
    <w:tr w:rsidR="005734D0" w:rsidRPr="007D3742" w14:paraId="2946B3D0" w14:textId="77777777"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14:paraId="57C8925E" w14:textId="77777777" w:rsidR="005734D0" w:rsidRDefault="00986F5E" w:rsidP="007A53EE">
          <w:pPr>
            <w:pStyle w:val="Rodap"/>
            <w:jc w:val="center"/>
            <w:rPr>
              <w:color w:val="008000"/>
              <w:sz w:val="16"/>
            </w:rPr>
          </w:pPr>
          <w:r>
            <w:rPr>
              <w:color w:val="008000"/>
              <w:sz w:val="16"/>
            </w:rPr>
            <w:t xml:space="preserve">Rua: João Maria Conrado nº 425 – </w:t>
          </w:r>
          <w:proofErr w:type="gramStart"/>
          <w:r>
            <w:rPr>
              <w:color w:val="008000"/>
              <w:sz w:val="16"/>
            </w:rPr>
            <w:t>C</w:t>
          </w:r>
          <w:r w:rsidR="007A53EE">
            <w:rPr>
              <w:color w:val="008000"/>
              <w:sz w:val="16"/>
            </w:rPr>
            <w:t>entro</w:t>
          </w:r>
          <w:r>
            <w:rPr>
              <w:color w:val="008000"/>
              <w:sz w:val="16"/>
            </w:rPr>
            <w:t xml:space="preserve">  -</w:t>
          </w:r>
          <w:proofErr w:type="gramEnd"/>
          <w:r>
            <w:rPr>
              <w:color w:val="008000"/>
              <w:sz w:val="16"/>
            </w:rPr>
            <w:t xml:space="preserve">  89834-000 – O</w:t>
          </w:r>
          <w:r w:rsidR="007A53EE">
            <w:rPr>
              <w:color w:val="008000"/>
              <w:sz w:val="16"/>
            </w:rPr>
            <w:t>uro</w:t>
          </w:r>
          <w:r>
            <w:rPr>
              <w:color w:val="008000"/>
              <w:sz w:val="16"/>
            </w:rPr>
            <w:t xml:space="preserve"> V</w:t>
          </w:r>
          <w:r w:rsidR="007A53EE">
            <w:rPr>
              <w:color w:val="008000"/>
              <w:sz w:val="16"/>
            </w:rPr>
            <w:t>erde</w:t>
          </w:r>
          <w:r>
            <w:rPr>
              <w:color w:val="008000"/>
              <w:sz w:val="16"/>
            </w:rPr>
            <w:t xml:space="preserve"> – SC</w:t>
          </w:r>
        </w:p>
        <w:p w14:paraId="44A416E9" w14:textId="77777777" w:rsidR="005734D0" w:rsidRDefault="00986F5E" w:rsidP="008626B3">
          <w:pPr>
            <w:pStyle w:val="Rodap"/>
            <w:jc w:val="center"/>
            <w:rPr>
              <w:color w:val="008080"/>
              <w:sz w:val="12"/>
              <w:lang w:val="en-US"/>
            </w:rPr>
          </w:pPr>
          <w:r>
            <w:rPr>
              <w:color w:val="008000"/>
              <w:sz w:val="16"/>
              <w:lang w:val="en-US"/>
            </w:rPr>
            <w:t>F</w:t>
          </w:r>
          <w:r w:rsidR="007A53EE">
            <w:rPr>
              <w:color w:val="008000"/>
              <w:sz w:val="16"/>
              <w:lang w:val="en-US"/>
            </w:rPr>
            <w:t>one/</w:t>
          </w:r>
          <w:r>
            <w:rPr>
              <w:color w:val="008000"/>
              <w:sz w:val="16"/>
              <w:lang w:val="en-US"/>
            </w:rPr>
            <w:t xml:space="preserve">FAX: 0XX49 3447 0007 </w:t>
          </w:r>
        </w:p>
      </w:tc>
      <w:tc>
        <w:tcPr>
          <w:tcW w:w="2048" w:type="dxa"/>
          <w:tcBorders>
            <w:top w:val="nil"/>
            <w:left w:val="nil"/>
            <w:bottom w:val="nil"/>
            <w:right w:val="nil"/>
          </w:tcBorders>
        </w:tcPr>
        <w:p w14:paraId="660FBEA9" w14:textId="77777777" w:rsidR="005734D0" w:rsidRDefault="005734D0">
          <w:pPr>
            <w:rPr>
              <w:lang w:val="en-US"/>
            </w:rPr>
          </w:pPr>
        </w:p>
        <w:p w14:paraId="05124751" w14:textId="77777777" w:rsidR="005734D0" w:rsidRDefault="005734D0">
          <w:pPr>
            <w:pStyle w:val="Rodap"/>
            <w:rPr>
              <w:lang w:val="en-US"/>
            </w:rPr>
          </w:pPr>
        </w:p>
      </w:tc>
    </w:tr>
  </w:tbl>
  <w:p w14:paraId="186CEDAF" w14:textId="77777777" w:rsidR="005734D0" w:rsidRDefault="005734D0">
    <w:pPr>
      <w:pStyle w:val="Rodap"/>
      <w:rPr>
        <w:sz w:val="2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2D9AD4" w14:textId="77777777" w:rsidR="00D74B51" w:rsidRDefault="00D74B51" w:rsidP="00B65862">
      <w:r>
        <w:separator/>
      </w:r>
    </w:p>
  </w:footnote>
  <w:footnote w:type="continuationSeparator" w:id="0">
    <w:p w14:paraId="6CB88352" w14:textId="77777777" w:rsidR="00D74B51" w:rsidRDefault="00D74B51" w:rsidP="00B658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70"/>
      <w:gridCol w:w="7050"/>
    </w:tblGrid>
    <w:tr w:rsidR="00F31182" w14:paraId="1FE91F9F" w14:textId="77777777" w:rsidTr="003F7414">
      <w:trPr>
        <w:trHeight w:val="1840"/>
      </w:trPr>
      <w:tc>
        <w:tcPr>
          <w:tcW w:w="2085" w:type="dxa"/>
          <w:tcBorders>
            <w:top w:val="nil"/>
            <w:left w:val="nil"/>
            <w:bottom w:val="nil"/>
            <w:right w:val="nil"/>
          </w:tcBorders>
        </w:tcPr>
        <w:p w14:paraId="1937076C" w14:textId="77777777" w:rsidR="00F31182" w:rsidRDefault="00F31182" w:rsidP="003F7414">
          <w:pPr>
            <w:pStyle w:val="Cabealho"/>
            <w:rPr>
              <w:sz w:val="32"/>
            </w:rPr>
          </w:pPr>
          <w:r>
            <w:object w:dxaOrig="2130" w:dyaOrig="1980" w14:anchorId="46AB7E7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6.5pt;height:99pt">
                <v:imagedata r:id="rId1" o:title=""/>
              </v:shape>
              <o:OLEObject Type="Embed" ProgID="CorelDraw.Graphic.9" ShapeID="_x0000_i1025" DrawAspect="Content" ObjectID="_1692774105" r:id="rId2"/>
            </w:object>
          </w:r>
        </w:p>
      </w:tc>
      <w:tc>
        <w:tcPr>
          <w:tcW w:w="7050" w:type="dxa"/>
          <w:tcBorders>
            <w:top w:val="nil"/>
            <w:left w:val="nil"/>
            <w:bottom w:val="nil"/>
            <w:right w:val="nil"/>
          </w:tcBorders>
        </w:tcPr>
        <w:p w14:paraId="6F248695" w14:textId="77777777" w:rsidR="00F31182" w:rsidRDefault="00F31182" w:rsidP="003F7414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14:paraId="674C05DA" w14:textId="77777777" w:rsidR="00F31182" w:rsidRDefault="00F31182" w:rsidP="003F7414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14:paraId="6A89629F" w14:textId="77777777" w:rsidR="00F31182" w:rsidRDefault="00F31182" w:rsidP="003F7414">
          <w:pPr>
            <w:pStyle w:val="Cabealho"/>
            <w:rPr>
              <w:rFonts w:ascii="Albertus Extra Bold" w:hAnsi="Albertus Extra Bold" w:cs="Arial"/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ESTADO DE SANTA CATARINA</w:t>
          </w:r>
        </w:p>
        <w:p w14:paraId="33995337" w14:textId="77777777" w:rsidR="00F31182" w:rsidRDefault="00F31182" w:rsidP="003F7414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14:paraId="1C1A3C93" w14:textId="77777777" w:rsidR="00F31182" w:rsidRDefault="004D4DBA" w:rsidP="003F7414">
          <w:pPr>
            <w:pStyle w:val="Cabealho"/>
            <w:rPr>
              <w:rFonts w:ascii="Albertus Extra Bold" w:hAnsi="Albertus Extra Bold" w:cs="Arial"/>
              <w:sz w:val="28"/>
            </w:rPr>
          </w:pPr>
          <w:r>
            <w:rPr>
              <w:rFonts w:ascii="Albertus Extra Bold" w:hAnsi="Albertus Extra Bold" w:cs="Arial"/>
              <w:sz w:val="28"/>
            </w:rPr>
            <w:t xml:space="preserve">MUNICIPIO DE </w:t>
          </w:r>
          <w:r w:rsidR="00F31182">
            <w:rPr>
              <w:rFonts w:ascii="Albertus Extra Bold" w:hAnsi="Albertus Extra Bold" w:cs="Arial"/>
              <w:sz w:val="28"/>
            </w:rPr>
            <w:t>OURO VERDE</w:t>
          </w:r>
        </w:p>
        <w:p w14:paraId="359293D7" w14:textId="77777777" w:rsidR="00F31182" w:rsidRDefault="00F31182" w:rsidP="003F7414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14:paraId="533E8109" w14:textId="77777777" w:rsidR="00F31182" w:rsidRDefault="00F31182" w:rsidP="004D4DBA">
          <w:pPr>
            <w:pStyle w:val="Cabealho"/>
            <w:rPr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 xml:space="preserve">CNPJ: </w:t>
          </w:r>
          <w:r w:rsidR="004D4DBA">
            <w:rPr>
              <w:rFonts w:ascii="Albertus Extra Bold" w:hAnsi="Albertus Extra Bold" w:cs="Arial"/>
              <w:sz w:val="32"/>
            </w:rPr>
            <w:t>80.913.031/0001-72</w:t>
          </w:r>
        </w:p>
      </w:tc>
    </w:tr>
  </w:tbl>
  <w:p w14:paraId="4D6ED913" w14:textId="77777777" w:rsidR="005734D0" w:rsidRDefault="005734D0">
    <w:pPr>
      <w:pStyle w:val="Cabealh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52467C"/>
    <w:multiLevelType w:val="hybridMultilevel"/>
    <w:tmpl w:val="98D225C2"/>
    <w:lvl w:ilvl="0" w:tplc="A6AA6D5A">
      <w:start w:val="1"/>
      <w:numFmt w:val="lowerLetter"/>
      <w:lvlText w:val="%1)"/>
      <w:lvlJc w:val="left"/>
      <w:pPr>
        <w:ind w:left="2651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71" w:hanging="360"/>
      </w:pPr>
    </w:lvl>
    <w:lvl w:ilvl="2" w:tplc="0416001B" w:tentative="1">
      <w:start w:val="1"/>
      <w:numFmt w:val="lowerRoman"/>
      <w:lvlText w:val="%3."/>
      <w:lvlJc w:val="right"/>
      <w:pPr>
        <w:ind w:left="4091" w:hanging="180"/>
      </w:pPr>
    </w:lvl>
    <w:lvl w:ilvl="3" w:tplc="0416000F" w:tentative="1">
      <w:start w:val="1"/>
      <w:numFmt w:val="decimal"/>
      <w:lvlText w:val="%4."/>
      <w:lvlJc w:val="left"/>
      <w:pPr>
        <w:ind w:left="4811" w:hanging="360"/>
      </w:pPr>
    </w:lvl>
    <w:lvl w:ilvl="4" w:tplc="04160019" w:tentative="1">
      <w:start w:val="1"/>
      <w:numFmt w:val="lowerLetter"/>
      <w:lvlText w:val="%5."/>
      <w:lvlJc w:val="left"/>
      <w:pPr>
        <w:ind w:left="5531" w:hanging="360"/>
      </w:pPr>
    </w:lvl>
    <w:lvl w:ilvl="5" w:tplc="0416001B" w:tentative="1">
      <w:start w:val="1"/>
      <w:numFmt w:val="lowerRoman"/>
      <w:lvlText w:val="%6."/>
      <w:lvlJc w:val="right"/>
      <w:pPr>
        <w:ind w:left="6251" w:hanging="180"/>
      </w:pPr>
    </w:lvl>
    <w:lvl w:ilvl="6" w:tplc="0416000F" w:tentative="1">
      <w:start w:val="1"/>
      <w:numFmt w:val="decimal"/>
      <w:lvlText w:val="%7."/>
      <w:lvlJc w:val="left"/>
      <w:pPr>
        <w:ind w:left="6971" w:hanging="360"/>
      </w:pPr>
    </w:lvl>
    <w:lvl w:ilvl="7" w:tplc="04160019" w:tentative="1">
      <w:start w:val="1"/>
      <w:numFmt w:val="lowerLetter"/>
      <w:lvlText w:val="%8."/>
      <w:lvlJc w:val="left"/>
      <w:pPr>
        <w:ind w:left="7691" w:hanging="360"/>
      </w:pPr>
    </w:lvl>
    <w:lvl w:ilvl="8" w:tplc="0416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1" w15:restartNumberingAfterBreak="0">
    <w:nsid w:val="24B142E6"/>
    <w:multiLevelType w:val="hybridMultilevel"/>
    <w:tmpl w:val="C3762AA2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714EFE"/>
    <w:multiLevelType w:val="multilevel"/>
    <w:tmpl w:val="3ECEC2DC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28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46E"/>
    <w:rsid w:val="00012977"/>
    <w:rsid w:val="000161DC"/>
    <w:rsid w:val="00033BEC"/>
    <w:rsid w:val="00053231"/>
    <w:rsid w:val="000764B2"/>
    <w:rsid w:val="00090219"/>
    <w:rsid w:val="00097B33"/>
    <w:rsid w:val="000A0944"/>
    <w:rsid w:val="000A6A75"/>
    <w:rsid w:val="000B72F3"/>
    <w:rsid w:val="000C4FAC"/>
    <w:rsid w:val="000C5581"/>
    <w:rsid w:val="000E1D8B"/>
    <w:rsid w:val="000F5EDD"/>
    <w:rsid w:val="00104AF8"/>
    <w:rsid w:val="001422FE"/>
    <w:rsid w:val="0014259B"/>
    <w:rsid w:val="00174572"/>
    <w:rsid w:val="001E1A21"/>
    <w:rsid w:val="001F1FE8"/>
    <w:rsid w:val="001F4810"/>
    <w:rsid w:val="00235922"/>
    <w:rsid w:val="00250DF1"/>
    <w:rsid w:val="00256CB5"/>
    <w:rsid w:val="00291AE2"/>
    <w:rsid w:val="00293435"/>
    <w:rsid w:val="002A42BF"/>
    <w:rsid w:val="002B6AC7"/>
    <w:rsid w:val="002C26F4"/>
    <w:rsid w:val="002C750A"/>
    <w:rsid w:val="002E14C8"/>
    <w:rsid w:val="002F536F"/>
    <w:rsid w:val="00314E86"/>
    <w:rsid w:val="003172CA"/>
    <w:rsid w:val="00325FE2"/>
    <w:rsid w:val="003414F0"/>
    <w:rsid w:val="0034344F"/>
    <w:rsid w:val="00350086"/>
    <w:rsid w:val="00352865"/>
    <w:rsid w:val="00373250"/>
    <w:rsid w:val="00395FF8"/>
    <w:rsid w:val="003D421C"/>
    <w:rsid w:val="003E0301"/>
    <w:rsid w:val="003E7A44"/>
    <w:rsid w:val="003F7414"/>
    <w:rsid w:val="00400DE4"/>
    <w:rsid w:val="00434160"/>
    <w:rsid w:val="00434CC5"/>
    <w:rsid w:val="00443099"/>
    <w:rsid w:val="00454473"/>
    <w:rsid w:val="004746F7"/>
    <w:rsid w:val="0047626B"/>
    <w:rsid w:val="00486057"/>
    <w:rsid w:val="00497E57"/>
    <w:rsid w:val="004A33BB"/>
    <w:rsid w:val="004A7F09"/>
    <w:rsid w:val="004D4DBA"/>
    <w:rsid w:val="00512F9E"/>
    <w:rsid w:val="005201C6"/>
    <w:rsid w:val="00524B45"/>
    <w:rsid w:val="0055761E"/>
    <w:rsid w:val="005734D0"/>
    <w:rsid w:val="00591963"/>
    <w:rsid w:val="005A38F6"/>
    <w:rsid w:val="005B6796"/>
    <w:rsid w:val="005D71D4"/>
    <w:rsid w:val="005F4C88"/>
    <w:rsid w:val="006276DA"/>
    <w:rsid w:val="00632EEA"/>
    <w:rsid w:val="00650546"/>
    <w:rsid w:val="00652B58"/>
    <w:rsid w:val="006658BE"/>
    <w:rsid w:val="006705E3"/>
    <w:rsid w:val="0068209F"/>
    <w:rsid w:val="00683A3C"/>
    <w:rsid w:val="00686ADB"/>
    <w:rsid w:val="00692F03"/>
    <w:rsid w:val="00697CCC"/>
    <w:rsid w:val="006C4A7E"/>
    <w:rsid w:val="006D6E1C"/>
    <w:rsid w:val="006F291F"/>
    <w:rsid w:val="0070437E"/>
    <w:rsid w:val="00713CDB"/>
    <w:rsid w:val="00720CC9"/>
    <w:rsid w:val="007313D9"/>
    <w:rsid w:val="00772F39"/>
    <w:rsid w:val="0078646E"/>
    <w:rsid w:val="007A53EE"/>
    <w:rsid w:val="007B2265"/>
    <w:rsid w:val="007D3742"/>
    <w:rsid w:val="007F324A"/>
    <w:rsid w:val="0083749F"/>
    <w:rsid w:val="008626B3"/>
    <w:rsid w:val="00865402"/>
    <w:rsid w:val="00882D5E"/>
    <w:rsid w:val="008B3E11"/>
    <w:rsid w:val="008E5E71"/>
    <w:rsid w:val="008F5F4A"/>
    <w:rsid w:val="00905EE3"/>
    <w:rsid w:val="009077A0"/>
    <w:rsid w:val="00933B61"/>
    <w:rsid w:val="0095099F"/>
    <w:rsid w:val="00955FFA"/>
    <w:rsid w:val="009562B7"/>
    <w:rsid w:val="00971C8A"/>
    <w:rsid w:val="009765E2"/>
    <w:rsid w:val="00977485"/>
    <w:rsid w:val="009822BB"/>
    <w:rsid w:val="00984FBC"/>
    <w:rsid w:val="00986F5E"/>
    <w:rsid w:val="009C6D7B"/>
    <w:rsid w:val="009C72CF"/>
    <w:rsid w:val="009D7733"/>
    <w:rsid w:val="00A04FA7"/>
    <w:rsid w:val="00A1250C"/>
    <w:rsid w:val="00A13638"/>
    <w:rsid w:val="00A17D07"/>
    <w:rsid w:val="00A37246"/>
    <w:rsid w:val="00A455BA"/>
    <w:rsid w:val="00A60530"/>
    <w:rsid w:val="00A611FD"/>
    <w:rsid w:val="00A614E0"/>
    <w:rsid w:val="00A8615A"/>
    <w:rsid w:val="00A91930"/>
    <w:rsid w:val="00A92EFE"/>
    <w:rsid w:val="00A97162"/>
    <w:rsid w:val="00A974A1"/>
    <w:rsid w:val="00AA24B2"/>
    <w:rsid w:val="00AA3AD5"/>
    <w:rsid w:val="00AD04FD"/>
    <w:rsid w:val="00AD08CB"/>
    <w:rsid w:val="00AE3E9D"/>
    <w:rsid w:val="00AF0BE5"/>
    <w:rsid w:val="00AF6F7B"/>
    <w:rsid w:val="00B176CB"/>
    <w:rsid w:val="00B26C4E"/>
    <w:rsid w:val="00B36CCF"/>
    <w:rsid w:val="00B43AB6"/>
    <w:rsid w:val="00B55E20"/>
    <w:rsid w:val="00B65862"/>
    <w:rsid w:val="00B739D9"/>
    <w:rsid w:val="00B830DB"/>
    <w:rsid w:val="00BA0053"/>
    <w:rsid w:val="00BA00CE"/>
    <w:rsid w:val="00BC27E6"/>
    <w:rsid w:val="00BD28A0"/>
    <w:rsid w:val="00BD4842"/>
    <w:rsid w:val="00BF1DAA"/>
    <w:rsid w:val="00C12824"/>
    <w:rsid w:val="00C24688"/>
    <w:rsid w:val="00C25484"/>
    <w:rsid w:val="00C27C4B"/>
    <w:rsid w:val="00C3113D"/>
    <w:rsid w:val="00C36373"/>
    <w:rsid w:val="00C366B7"/>
    <w:rsid w:val="00C41D96"/>
    <w:rsid w:val="00C505F3"/>
    <w:rsid w:val="00C706DC"/>
    <w:rsid w:val="00C84F09"/>
    <w:rsid w:val="00C95A13"/>
    <w:rsid w:val="00CA2F6D"/>
    <w:rsid w:val="00CA57B5"/>
    <w:rsid w:val="00CA64F1"/>
    <w:rsid w:val="00CB1C5A"/>
    <w:rsid w:val="00CD7F51"/>
    <w:rsid w:val="00D208DD"/>
    <w:rsid w:val="00D4004C"/>
    <w:rsid w:val="00D73457"/>
    <w:rsid w:val="00D74B51"/>
    <w:rsid w:val="00D80479"/>
    <w:rsid w:val="00DB778E"/>
    <w:rsid w:val="00DC36B3"/>
    <w:rsid w:val="00DC4274"/>
    <w:rsid w:val="00DC4A95"/>
    <w:rsid w:val="00DC6AE4"/>
    <w:rsid w:val="00DD00E1"/>
    <w:rsid w:val="00DD68EE"/>
    <w:rsid w:val="00DE3814"/>
    <w:rsid w:val="00DF2B0B"/>
    <w:rsid w:val="00E02121"/>
    <w:rsid w:val="00E11184"/>
    <w:rsid w:val="00E113B0"/>
    <w:rsid w:val="00E234F2"/>
    <w:rsid w:val="00E2579B"/>
    <w:rsid w:val="00E36359"/>
    <w:rsid w:val="00E45002"/>
    <w:rsid w:val="00E46B2A"/>
    <w:rsid w:val="00E66A6A"/>
    <w:rsid w:val="00E71E31"/>
    <w:rsid w:val="00EB125A"/>
    <w:rsid w:val="00EC31E2"/>
    <w:rsid w:val="00EC4051"/>
    <w:rsid w:val="00EC597E"/>
    <w:rsid w:val="00EC5B2B"/>
    <w:rsid w:val="00F022B2"/>
    <w:rsid w:val="00F1546E"/>
    <w:rsid w:val="00F218BB"/>
    <w:rsid w:val="00F26B50"/>
    <w:rsid w:val="00F30FC9"/>
    <w:rsid w:val="00F31182"/>
    <w:rsid w:val="00F57766"/>
    <w:rsid w:val="00F64AA7"/>
    <w:rsid w:val="00F82C2E"/>
    <w:rsid w:val="00FA58A9"/>
    <w:rsid w:val="00FD7AC5"/>
    <w:rsid w:val="00FE4AC6"/>
    <w:rsid w:val="00FF0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A6ECB8"/>
  <w15:chartTrackingRefBased/>
  <w15:docId w15:val="{F40B2CAF-AA1E-4F6B-901F-207FDF5FD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46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tulo8">
    <w:name w:val="heading 8"/>
    <w:basedOn w:val="Normal"/>
    <w:next w:val="Normal"/>
    <w:link w:val="Ttulo8Char"/>
    <w:uiPriority w:val="99"/>
    <w:qFormat/>
    <w:rsid w:val="00AD04FD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link w:val="Ttulo8"/>
    <w:uiPriority w:val="99"/>
    <w:rsid w:val="00AD04FD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Cabealho">
    <w:name w:val="header"/>
    <w:basedOn w:val="Normal"/>
    <w:link w:val="CabealhoChar"/>
    <w:rsid w:val="00AD04FD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link w:val="Cabealho"/>
    <w:rsid w:val="00AD04F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rsid w:val="00AD04FD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link w:val="Rodap"/>
    <w:uiPriority w:val="99"/>
    <w:rsid w:val="00AD04FD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uiPriority w:val="99"/>
    <w:rsid w:val="00AD04FD"/>
    <w:rPr>
      <w:rFonts w:cs="Times New Roman"/>
    </w:rPr>
  </w:style>
  <w:style w:type="paragraph" w:styleId="Corpodetexto">
    <w:name w:val="Body Text"/>
    <w:basedOn w:val="Normal"/>
    <w:link w:val="CorpodetextoChar"/>
    <w:uiPriority w:val="99"/>
    <w:rsid w:val="00AD04F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link w:val="Corpodetexto"/>
    <w:uiPriority w:val="99"/>
    <w:rsid w:val="00AD04F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rsid w:val="00AD04F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link w:val="Recuodecorpodetexto"/>
    <w:uiPriority w:val="99"/>
    <w:rsid w:val="00AD04F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AD04F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link w:val="Recuodecorpodetexto2"/>
    <w:uiPriority w:val="99"/>
    <w:rsid w:val="00AD04F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F30FC9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  <w:lang w:eastAsia="en-US"/>
    </w:rPr>
  </w:style>
  <w:style w:type="paragraph" w:styleId="SemEspaamento">
    <w:name w:val="No Spacing"/>
    <w:uiPriority w:val="1"/>
    <w:qFormat/>
    <w:rsid w:val="006705E3"/>
    <w:rPr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B125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EB125A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652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23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NTABILIDADE\Desktop\Word\PROJETO%20DE%20LEI%20N&#186;%20011%202021%20HOMOLOGA&#199;&#195;O%20E%20RATIFICA&#199;&#195;O%20DE%20SERVID&#195;O%20ADMINISTRATIVA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2AFE56-9AA2-495C-AD9E-DE6C3BA00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PROJETO DE LEI Nº 011 2021 HOMOLOGAÇÃO E RATIFICAÇÃO DE SERVIDÃO ADMINISTRATIVA</Template>
  <TotalTime>3</TotalTime>
  <Pages>2</Pages>
  <Words>537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CONTABILIDADE</dc:creator>
  <cp:keywords/>
  <cp:lastModifiedBy>User</cp:lastModifiedBy>
  <cp:revision>3</cp:revision>
  <cp:lastPrinted>2021-07-09T13:48:00Z</cp:lastPrinted>
  <dcterms:created xsi:type="dcterms:W3CDTF">2021-09-10T13:13:00Z</dcterms:created>
  <dcterms:modified xsi:type="dcterms:W3CDTF">2021-09-10T13:15:00Z</dcterms:modified>
</cp:coreProperties>
</file>